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20" w:lineRule="exact"/>
        <w:jc w:val="center"/>
        <w:rPr>
          <w:rFonts w:hint="eastAsia" w:ascii="黑体" w:hAnsi="黑体" w:eastAsia="黑体" w:cs="黑体"/>
          <w:b/>
          <w:bCs/>
          <w:sz w:val="36"/>
        </w:rPr>
      </w:pPr>
      <w:bookmarkStart w:id="3" w:name="_GoBack"/>
      <w:bookmarkEnd w:id="3"/>
      <w:r>
        <w:rPr>
          <w:rFonts w:hint="eastAsia" w:ascii="黑体" w:hAnsi="黑体" w:eastAsia="黑体" w:cs="黑体"/>
          <w:b/>
          <w:bCs/>
          <w:sz w:val="36"/>
        </w:rPr>
        <w:t>陕西汽车控股集团有限公司-需求简介</w:t>
      </w:r>
    </w:p>
    <w:p>
      <w:pPr>
        <w:widowControl/>
        <w:numPr>
          <w:ilvl w:val="0"/>
          <w:numId w:val="0"/>
        </w:numPr>
        <w:spacing w:before="156" w:beforeLines="50" w:line="380" w:lineRule="exact"/>
        <w:ind w:left="420" w:leftChars="0"/>
        <w:jc w:val="left"/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</w:rPr>
      </w:pPr>
      <w:bookmarkStart w:id="0" w:name="OLE_LINK1"/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  <w:lang w:eastAsia="zh-CN"/>
        </w:rPr>
        <w:t>一、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</w:rPr>
        <w:t>我们是谁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陕西汽车控股集团有限公司（以下简称“陕汽控股”），总部位于陕西省西安市，是我国西北地区最大的制造企业，前身是始建于 1968 年的陕西汽车制造厂，现有员工 2.8 万人，资产总额 533 亿元，位居中国 500 强第 387 位，中国机械 500 强第 22 位，下辖陕西汽车集团有限责任公司、陕西汽车实业有限公司、金龙汽车（西安）有限公司等 100 余家参控股子公司。主要从事重型军用越野车，覆盖柴油、天然气、电动动力系统的重型卡车、中轻型卡车、大中型客车、微型车的商用车系列，重微型车桥、康明斯发动机及其零部件的开发、生产、销售及相关的汽车服务贸易和汽车金融业务。</w:t>
      </w:r>
    </w:p>
    <w:p>
      <w:pPr>
        <w:widowControl/>
        <w:numPr>
          <w:ilvl w:val="0"/>
          <w:numId w:val="0"/>
        </w:numPr>
        <w:spacing w:line="380" w:lineRule="exact"/>
        <w:ind w:left="422" w:leftChars="0"/>
        <w:jc w:val="both"/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  <w:lang w:eastAsia="zh-CN"/>
        </w:rPr>
        <w:t>二、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</w:rPr>
        <w:t>我们的优势</w:t>
      </w:r>
    </w:p>
    <w:p>
      <w:pPr>
        <w:widowControl/>
        <w:spacing w:before="31" w:beforeLines="10" w:after="31" w:afterLines="10" w:line="380" w:lineRule="exact"/>
        <w:ind w:left="420"/>
        <w:jc w:val="left"/>
        <w:rPr>
          <w:rFonts w:hint="eastAsia" w:ascii="ˎ̥" w:hAnsi="ˎ̥" w:cs="宋体"/>
          <w:b/>
          <w:bCs/>
          <w:color w:val="FF0000"/>
          <w:spacing w:val="2"/>
          <w:kern w:val="0"/>
          <w:szCs w:val="21"/>
        </w:rPr>
      </w:pPr>
      <w:r>
        <w:rPr>
          <w:rFonts w:hint="eastAsia" w:ascii="ˎ̥" w:hAnsi="ˎ̥" w:cs="宋体"/>
          <w:b/>
          <w:bCs/>
          <w:color w:val="FF0000"/>
          <w:spacing w:val="2"/>
          <w:kern w:val="0"/>
          <w:szCs w:val="21"/>
          <w:lang w:val="en-US" w:eastAsia="zh-CN"/>
        </w:rPr>
        <w:t>1、</w:t>
      </w:r>
      <w:r>
        <w:rPr>
          <w:rFonts w:hint="eastAsia" w:ascii="ˎ̥" w:hAnsi="ˎ̥" w:cs="宋体"/>
          <w:b/>
          <w:bCs/>
          <w:color w:val="FF0000"/>
          <w:spacing w:val="2"/>
          <w:kern w:val="0"/>
          <w:szCs w:val="21"/>
        </w:rPr>
        <w:t>研发实力</w:t>
      </w:r>
    </w:p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ˎ̥" w:hAnsi="ˎ̥" w:cs="宋体"/>
          <w:b/>
          <w:bCs/>
          <w:color w:val="000000"/>
          <w:kern w:val="0"/>
          <w:szCs w:val="21"/>
        </w:rPr>
      </w:pPr>
      <w:r>
        <w:rPr>
          <w:rFonts w:hint="eastAsia" w:ascii="ˎ̥" w:hAnsi="ˎ̥" w:cs="宋体"/>
          <w:b/>
          <w:bCs/>
          <w:color w:val="000000"/>
          <w:spacing w:val="2"/>
          <w:kern w:val="0"/>
          <w:szCs w:val="21"/>
        </w:rPr>
        <w:t>军车研发第一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bookmarkStart w:id="1" w:name="OLE_LINK4"/>
      <w:bookmarkStart w:id="2" w:name="OLE_LINK5"/>
      <w:r>
        <w:rPr>
          <w:rFonts w:hint="eastAsia" w:ascii="ˎ̥" w:hAnsi="ˎ̥" w:cs="宋体"/>
          <w:bCs/>
          <w:color w:val="000000"/>
          <w:kern w:val="0"/>
          <w:szCs w:val="21"/>
        </w:rPr>
        <w:t>行业唯一五次参加阅兵的重型军车生产企业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中国人民解放军第三代重型军用越野车唯一中标厂家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总装备部唯一指定重型越野车生产基地</w:t>
      </w:r>
    </w:p>
    <w:bookmarkEnd w:id="1"/>
    <w:bookmarkEnd w:id="2"/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ˎ̥" w:hAnsi="ˎ̥" w:cs="宋体"/>
          <w:b/>
          <w:bCs/>
          <w:color w:val="000000"/>
          <w:spacing w:val="2"/>
          <w:kern w:val="0"/>
          <w:szCs w:val="21"/>
        </w:rPr>
      </w:pPr>
      <w:r>
        <w:rPr>
          <w:rFonts w:hint="eastAsia" w:ascii="ˎ̥" w:hAnsi="ˎ̥" w:cs="宋体"/>
          <w:b/>
          <w:bCs/>
          <w:color w:val="000000"/>
          <w:spacing w:val="2"/>
          <w:kern w:val="0"/>
          <w:szCs w:val="21"/>
        </w:rPr>
        <w:t>新能源领导者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天然气汽车国家标准制定者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38项LNG重卡专利技术，承担国家863新能源商用车项目开发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纯电动码头牵引车成功进入美国市场，实现了中国重卡产品在欧美发达国家市场的突破</w:t>
      </w:r>
    </w:p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ˎ̥" w:hAnsi="ˎ̥" w:cs="宋体"/>
          <w:b/>
          <w:bCs/>
          <w:color w:val="000000"/>
          <w:spacing w:val="2"/>
          <w:kern w:val="0"/>
          <w:szCs w:val="21"/>
        </w:rPr>
      </w:pPr>
      <w:r>
        <w:rPr>
          <w:rFonts w:hint="eastAsia" w:ascii="ˎ̥" w:hAnsi="ˎ̥" w:cs="宋体"/>
          <w:b/>
          <w:bCs/>
          <w:color w:val="000000"/>
          <w:spacing w:val="2"/>
          <w:kern w:val="0"/>
          <w:szCs w:val="21"/>
        </w:rPr>
        <w:t>国内最先进车联网服务系统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天行健车联网，全面构建重卡车辆管理新模式，重卡车联网领跑者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车辆网研发中心被工信部授予“国内首家车联网技术应用实训示范基地”</w:t>
      </w:r>
    </w:p>
    <w:p>
      <w:pPr>
        <w:widowControl/>
        <w:spacing w:line="380" w:lineRule="exact"/>
        <w:ind w:firstLine="420" w:firstLineChars="200"/>
        <w:jc w:val="left"/>
        <w:rPr>
          <w:rFonts w:hint="eastAsia" w:ascii="ˎ̥" w:hAnsi="ˎ̥" w:cs="宋体"/>
          <w:bCs/>
          <w:color w:val="000000"/>
          <w:kern w:val="0"/>
          <w:szCs w:val="21"/>
        </w:rPr>
      </w:pPr>
      <w:r>
        <w:rPr>
          <w:rFonts w:hint="eastAsia" w:ascii="ˎ̥" w:hAnsi="ˎ̥" w:cs="宋体"/>
          <w:bCs/>
          <w:color w:val="000000"/>
          <w:kern w:val="0"/>
          <w:szCs w:val="21"/>
        </w:rPr>
        <w:t>为物流公司、金融机构、渣土车监管单位提供车联网综合解决方案</w:t>
      </w:r>
    </w:p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ˎ̥" w:hAnsi="ˎ̥" w:cs="宋体"/>
          <w:b/>
          <w:bCs/>
          <w:color w:val="000000"/>
          <w:spacing w:val="2"/>
          <w:kern w:val="0"/>
          <w:szCs w:val="21"/>
        </w:rPr>
      </w:pPr>
      <w:r>
        <w:rPr>
          <w:rFonts w:hint="eastAsia" w:ascii="ˎ̥" w:hAnsi="ˎ̥" w:cs="宋体"/>
          <w:b/>
          <w:bCs/>
          <w:color w:val="000000"/>
          <w:spacing w:val="2"/>
          <w:kern w:val="0"/>
          <w:szCs w:val="21"/>
        </w:rPr>
        <w:t>研发平台一流</w:t>
      </w:r>
    </w:p>
    <w:p>
      <w:pPr>
        <w:widowControl/>
        <w:spacing w:line="380" w:lineRule="exact"/>
        <w:ind w:left="422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国家级技术中心、博士后科研工作站、汉德车桥技术中心、新能源汽车实验室</w:t>
      </w:r>
    </w:p>
    <w:p>
      <w:pPr>
        <w:widowControl/>
        <w:spacing w:line="380" w:lineRule="exact"/>
        <w:ind w:left="422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拥有国内一流的商用车研发团队、完整的新能源汽车研发团队、智能卡车研发团队、车联网研发团队</w:t>
      </w:r>
    </w:p>
    <w:p>
      <w:pPr>
        <w:widowControl/>
        <w:spacing w:before="31" w:beforeLines="10" w:after="31" w:afterLines="10" w:line="380" w:lineRule="exact"/>
        <w:ind w:left="420"/>
        <w:jc w:val="left"/>
        <w:rPr>
          <w:rFonts w:hint="eastAsia" w:ascii="ˎ̥" w:hAnsi="ˎ̥" w:cs="宋体"/>
          <w:b/>
          <w:bCs/>
          <w:color w:val="FF0000"/>
          <w:spacing w:val="2"/>
          <w:kern w:val="0"/>
          <w:szCs w:val="21"/>
        </w:rPr>
      </w:pPr>
      <w:r>
        <w:rPr>
          <w:rFonts w:hint="eastAsia" w:ascii="ˎ̥" w:hAnsi="ˎ̥" w:cs="宋体"/>
          <w:b/>
          <w:bCs/>
          <w:color w:val="FF0000"/>
          <w:spacing w:val="2"/>
          <w:kern w:val="0"/>
          <w:szCs w:val="21"/>
          <w:lang w:val="en-US" w:eastAsia="zh-CN"/>
        </w:rPr>
        <w:t>2、</w:t>
      </w:r>
      <w:r>
        <w:rPr>
          <w:rFonts w:hint="eastAsia" w:ascii="ˎ̥" w:hAnsi="ˎ̥" w:cs="宋体"/>
          <w:b/>
          <w:bCs/>
          <w:color w:val="FF0000"/>
          <w:spacing w:val="2"/>
          <w:kern w:val="0"/>
          <w:szCs w:val="21"/>
        </w:rPr>
        <w:t>发展平台</w:t>
      </w:r>
    </w:p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专业序列：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打造“成长之星-青年新星-科技带头人-专家”四级培养体系，鼓励员工深度钻研，用3-5年的时间成为专业领域的佼佼者，公司现有175名科技带头人、29名专家，最年轻的专家32岁。</w:t>
      </w:r>
    </w:p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行政序列：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完善的干部梯队培养机制，每年选拔并培养后备干部50余人，通过与专业培训机构合作，分阶段给予管理技能提升培训。</w:t>
      </w:r>
    </w:p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人才激励：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公司每年召开创新大会，启动千万级创新基金对创新成果进行奖励。</w:t>
      </w:r>
    </w:p>
    <w:p>
      <w:pPr>
        <w:widowControl/>
        <w:spacing w:before="31" w:beforeLines="10" w:after="31" w:afterLines="10" w:line="380" w:lineRule="exact"/>
        <w:ind w:left="420"/>
        <w:jc w:val="left"/>
        <w:rPr>
          <w:rFonts w:hint="eastAsia" w:ascii="ˎ̥" w:hAnsi="ˎ̥" w:cs="宋体"/>
          <w:b/>
          <w:bCs/>
          <w:color w:val="FF0000"/>
          <w:spacing w:val="2"/>
          <w:kern w:val="0"/>
          <w:szCs w:val="21"/>
        </w:rPr>
      </w:pPr>
      <w:r>
        <w:rPr>
          <w:rFonts w:hint="eastAsia" w:ascii="ˎ̥" w:hAnsi="ˎ̥" w:cs="宋体"/>
          <w:b/>
          <w:bCs/>
          <w:color w:val="FF0000"/>
          <w:spacing w:val="2"/>
          <w:kern w:val="0"/>
          <w:szCs w:val="21"/>
          <w:lang w:val="en-US" w:eastAsia="zh-CN"/>
        </w:rPr>
        <w:t>3、</w:t>
      </w:r>
      <w:r>
        <w:rPr>
          <w:rFonts w:hint="eastAsia" w:ascii="ˎ̥" w:hAnsi="ˎ̥" w:cs="宋体"/>
          <w:b/>
          <w:bCs/>
          <w:color w:val="FF0000"/>
          <w:spacing w:val="2"/>
          <w:kern w:val="0"/>
          <w:szCs w:val="21"/>
        </w:rPr>
        <w:t>企业保障</w:t>
      </w:r>
    </w:p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子女教育：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公司配套幼儿园、小学、中学，为员工子女提供便利的就学条件。</w:t>
      </w:r>
    </w:p>
    <w:p>
      <w:pPr>
        <w:widowControl/>
        <w:numPr>
          <w:ilvl w:val="0"/>
          <w:numId w:val="0"/>
        </w:numPr>
        <w:spacing w:line="380" w:lineRule="exact"/>
        <w:ind w:left="420" w:leftChars="0"/>
        <w:jc w:val="left"/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员工住房：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公司自建高品质住宅区，为员工提供住房保障。</w:t>
      </w:r>
    </w:p>
    <w:p>
      <w:pPr>
        <w:widowControl/>
        <w:numPr>
          <w:ilvl w:val="0"/>
          <w:numId w:val="0"/>
        </w:numPr>
        <w:spacing w:before="156" w:beforeLines="50" w:line="380" w:lineRule="exact"/>
        <w:ind w:left="420" w:leftChars="0"/>
        <w:jc w:val="both"/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  <w:lang w:eastAsia="zh-CN"/>
        </w:rPr>
      </w:pPr>
    </w:p>
    <w:p>
      <w:pPr>
        <w:widowControl/>
        <w:numPr>
          <w:ilvl w:val="0"/>
          <w:numId w:val="1"/>
        </w:numPr>
        <w:spacing w:before="156" w:beforeLines="50" w:line="380" w:lineRule="exact"/>
        <w:ind w:left="420" w:leftChars="0"/>
        <w:jc w:val="both"/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  <w:lang w:eastAsia="zh-CN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  <w:lang w:eastAsia="zh-CN"/>
        </w:rPr>
        <w:t>招聘需求</w:t>
      </w:r>
    </w:p>
    <w:bookmarkEnd w:id="0"/>
    <w:tbl>
      <w:tblPr>
        <w:tblStyle w:val="3"/>
        <w:tblW w:w="1090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295"/>
        <w:gridCol w:w="3975"/>
        <w:gridCol w:w="3625"/>
        <w:gridCol w:w="13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9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  <w:t>专业类</w:t>
            </w:r>
          </w:p>
        </w:tc>
        <w:tc>
          <w:tcPr>
            <w:tcW w:w="397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  <w:t>细分专业</w:t>
            </w:r>
          </w:p>
        </w:tc>
        <w:tc>
          <w:tcPr>
            <w:tcW w:w="362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  <w:t>岗位方向</w:t>
            </w:r>
          </w:p>
        </w:tc>
        <w:tc>
          <w:tcPr>
            <w:tcW w:w="131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Cs w:val="21"/>
              </w:rPr>
              <w:t>学历要求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69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汽车类</w:t>
            </w:r>
          </w:p>
        </w:tc>
        <w:tc>
          <w:tcPr>
            <w:tcW w:w="3975" w:type="dxa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车辆工程、汽车运用工程、交通运输、汽车电子、热能与动力工程等</w:t>
            </w:r>
          </w:p>
        </w:tc>
        <w:tc>
          <w:tcPr>
            <w:tcW w:w="362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商用车研发</w:t>
            </w:r>
            <w:r>
              <w:rPr>
                <w:rFonts w:hint="eastAsia" w:ascii="ˎ̥" w:hAnsi="ˎ̥" w:cs="宋体"/>
                <w:bCs/>
                <w:color w:val="000000"/>
                <w:kern w:val="0"/>
                <w:szCs w:val="21"/>
              </w:rPr>
              <w:t>、零部件设计、动力总成设计、CAE分析</w:t>
            </w:r>
          </w:p>
        </w:tc>
        <w:tc>
          <w:tcPr>
            <w:tcW w:w="131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 w:eastAsiaTheme="minorEastAsia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博士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eastAsia="zh-CN"/>
              </w:rPr>
              <w:t>、硕士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电气电控类</w:t>
            </w:r>
          </w:p>
        </w:tc>
        <w:tc>
          <w:tcPr>
            <w:tcW w:w="3975" w:type="dxa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电气工程及其自动化、自动化、电气工程、控制工程等</w:t>
            </w:r>
          </w:p>
        </w:tc>
        <w:tc>
          <w:tcPr>
            <w:tcW w:w="3625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ˎ̥" w:hAnsi="ˎ̥" w:cs="宋体"/>
                <w:bCs/>
                <w:color w:val="000000"/>
                <w:kern w:val="0"/>
                <w:szCs w:val="21"/>
              </w:rPr>
              <w:t>新能源汽车研发、智能驾驶动力系统开发、电气系统研发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博士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eastAsia="zh-CN"/>
              </w:rPr>
              <w:t>、硕士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计算机类</w:t>
            </w:r>
          </w:p>
        </w:tc>
        <w:tc>
          <w:tcPr>
            <w:tcW w:w="3975" w:type="dxa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计算机科学与技术、软件工程、通信工程、电子信息、微电子、数学等</w:t>
            </w:r>
          </w:p>
        </w:tc>
        <w:tc>
          <w:tcPr>
            <w:tcW w:w="3625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ˎ̥" w:hAnsi="ˎ̥" w:cs="宋体"/>
                <w:bCs/>
                <w:color w:val="000000"/>
                <w:kern w:val="0"/>
                <w:szCs w:val="21"/>
              </w:rPr>
              <w:t>新能源汽车研发、智能车嵌入式软件开发、智能车决策算法开发、智能车软件平台架构、Java/C++开发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博士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eastAsia="zh-CN"/>
              </w:rPr>
              <w:t>、硕士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9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机械类</w:t>
            </w:r>
          </w:p>
        </w:tc>
        <w:tc>
          <w:tcPr>
            <w:tcW w:w="3975" w:type="dxa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机械设计制造及其自动化、机械工程、机械电子工程</w:t>
            </w:r>
          </w:p>
        </w:tc>
        <w:tc>
          <w:tcPr>
            <w:tcW w:w="3625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ˎ̥" w:hAnsi="ˎ̥" w:cs="宋体"/>
                <w:bCs/>
                <w:color w:val="000000"/>
                <w:kern w:val="0"/>
                <w:szCs w:val="21"/>
              </w:rPr>
              <w:t>零部件设计、CAE分析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博士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lang w:eastAsia="zh-CN"/>
              </w:rPr>
              <w:t>、硕士</w:t>
            </w:r>
          </w:p>
        </w:tc>
      </w:tr>
    </w:tbl>
    <w:p>
      <w:pPr>
        <w:widowControl/>
        <w:numPr>
          <w:ilvl w:val="0"/>
          <w:numId w:val="1"/>
        </w:numPr>
        <w:spacing w:before="156" w:beforeLines="50" w:line="380" w:lineRule="exact"/>
        <w:ind w:left="420" w:leftChars="0"/>
        <w:jc w:val="both"/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  <w:lang w:val="en-US" w:eastAsia="zh-CN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21"/>
          <w:lang w:val="en-US" w:eastAsia="zh-CN"/>
        </w:rPr>
        <w:t>联系方式</w:t>
      </w:r>
    </w:p>
    <w:p>
      <w:pPr>
        <w:spacing w:line="320" w:lineRule="exact"/>
        <w:ind w:firstLine="422" w:firstLineChars="201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地  址：  陕西省西安市经济技术开发区泾渭工业园陕汽大道1号</w:t>
      </w:r>
    </w:p>
    <w:p>
      <w:pPr>
        <w:spacing w:line="320" w:lineRule="exact"/>
        <w:ind w:firstLine="422" w:firstLineChars="201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电  话：  029-86955976</w:t>
      </w:r>
    </w:p>
    <w:p>
      <w:pPr>
        <w:spacing w:line="320" w:lineRule="exact"/>
        <w:ind w:firstLine="422" w:firstLineChars="201"/>
        <w:rPr>
          <w:rFonts w:hint="eastAsia" w:ascii="宋体" w:hAnsi="宋体" w:cs="宋体" w:eastAsiaTheme="minorEastAsia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联系人：</w:t>
      </w:r>
      <w:r>
        <w:rPr>
          <w:rFonts w:hint="eastAsia" w:ascii="宋体" w:hAnsi="宋体" w:cs="宋体"/>
          <w:bCs/>
          <w:color w:val="000000"/>
          <w:kern w:val="0"/>
          <w:szCs w:val="21"/>
          <w:lang w:val="en-US" w:eastAsia="zh-CN"/>
        </w:rPr>
        <w:t xml:space="preserve">  高老师</w:t>
      </w:r>
    </w:p>
    <w:p>
      <w:pPr>
        <w:spacing w:line="320" w:lineRule="exact"/>
        <w:ind w:firstLine="422" w:firstLineChars="201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邮</w:t>
      </w:r>
      <w:r>
        <w:rPr>
          <w:rFonts w:hint="eastAsia" w:ascii="宋体" w:hAnsi="宋体" w:cs="宋体"/>
          <w:bCs/>
          <w:color w:val="000000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编：</w:t>
      </w:r>
      <w:r>
        <w:rPr>
          <w:rFonts w:hint="eastAsia" w:ascii="宋体" w:hAnsi="宋体" w:cs="宋体"/>
          <w:bCs/>
          <w:color w:val="000000"/>
          <w:kern w:val="0"/>
          <w:szCs w:val="21"/>
          <w:lang w:val="en-US" w:eastAsia="zh-CN"/>
        </w:rPr>
        <w:t xml:space="preserve">  710200</w:t>
      </w:r>
    </w:p>
    <w:p>
      <w:pPr>
        <w:spacing w:line="320" w:lineRule="exact"/>
        <w:ind w:firstLine="422" w:firstLineChars="201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 xml:space="preserve">官  网：  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fldChar w:fldCharType="begin"/>
      </w:r>
      <w:r>
        <w:rPr>
          <w:rFonts w:hint="eastAsia" w:ascii="宋体" w:hAnsi="宋体" w:cs="宋体"/>
          <w:bCs/>
          <w:color w:val="000000"/>
          <w:kern w:val="0"/>
          <w:szCs w:val="21"/>
        </w:rPr>
        <w:instrText xml:space="preserve"> HYPERLINK "http://www.sxqc.com" </w:instrText>
      </w:r>
      <w:r>
        <w:rPr>
          <w:rFonts w:hint="eastAsia" w:ascii="宋体" w:hAnsi="宋体" w:cs="宋体"/>
          <w:bCs/>
          <w:color w:val="000000"/>
          <w:kern w:val="0"/>
          <w:szCs w:val="21"/>
        </w:rPr>
        <w:fldChar w:fldCharType="separate"/>
      </w:r>
      <w:r>
        <w:rPr>
          <w:rFonts w:hint="eastAsia" w:ascii="宋体" w:hAnsi="宋体" w:cs="宋体"/>
          <w:bCs/>
          <w:color w:val="000000"/>
          <w:kern w:val="0"/>
          <w:szCs w:val="21"/>
        </w:rPr>
        <w:t>www.sxqc.com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fldChar w:fldCharType="end"/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2A0"/>
    <w:multiLevelType w:val="singleLevel"/>
    <w:tmpl w:val="5B7D02A0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2143B"/>
    <w:rsid w:val="079E6E21"/>
    <w:rsid w:val="10346ADD"/>
    <w:rsid w:val="1C8B322F"/>
    <w:rsid w:val="1FEE0493"/>
    <w:rsid w:val="335D2B77"/>
    <w:rsid w:val="3B785B5D"/>
    <w:rsid w:val="3C287EC6"/>
    <w:rsid w:val="3E72143B"/>
    <w:rsid w:val="4B8F00DC"/>
    <w:rsid w:val="554715E9"/>
    <w:rsid w:val="6D535020"/>
    <w:rsid w:val="76C71AC0"/>
    <w:rsid w:val="7970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2018-08-10T07:14:00Z</dcterms:created>
  <dc:creator>Administrator</dc:creator>
  <cp:lastModifiedBy>Administrator</cp:lastModifiedBy>
  <dcterms:modified xsi:type="dcterms:W3CDTF">2018-10-17T06:05:58Z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