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sz w:val="32"/>
          <w:szCs w:val="32"/>
        </w:rPr>
      </w:pPr>
      <w:bookmarkStart w:id="0" w:name="_GoBack"/>
      <w:bookmarkEnd w:id="0"/>
      <w:r>
        <w:rPr>
          <w:rFonts w:hint="eastAsia" w:ascii="黑体" w:hAnsi="黑体" w:eastAsia="黑体"/>
          <w:sz w:val="32"/>
          <w:szCs w:val="32"/>
        </w:rPr>
        <w:t>西安银行招聘简章</w:t>
      </w:r>
    </w:p>
    <w:p>
      <w:pPr>
        <w:jc w:val="center"/>
        <w:rPr>
          <w:rFonts w:ascii="仿宋_GB2312" w:eastAsia="仿宋_GB2312"/>
          <w:szCs w:val="21"/>
        </w:rPr>
      </w:pPr>
    </w:p>
    <w:p>
      <w:pPr>
        <w:jc w:val="left"/>
        <w:rPr>
          <w:rFonts w:ascii="仿宋_GB2312" w:eastAsia="仿宋_GB2312"/>
          <w:b/>
          <w:szCs w:val="21"/>
        </w:rPr>
      </w:pPr>
      <w:r>
        <w:rPr>
          <w:rFonts w:hint="eastAsia" w:ascii="仿宋_GB2312" w:eastAsia="仿宋_GB2312"/>
          <w:b/>
          <w:szCs w:val="21"/>
        </w:rPr>
        <w:t>一、企业介绍</w:t>
      </w:r>
    </w:p>
    <w:p>
      <w:pPr>
        <w:ind w:firstLine="420" w:firstLineChars="200"/>
        <w:jc w:val="left"/>
        <w:rPr>
          <w:rFonts w:ascii="仿宋_GB2312" w:eastAsia="仿宋_GB2312"/>
          <w:szCs w:val="21"/>
        </w:rPr>
      </w:pPr>
      <w:r>
        <w:rPr>
          <w:rFonts w:hint="eastAsia" w:ascii="仿宋_GB2312" w:eastAsia="仿宋_GB2312"/>
          <w:szCs w:val="21"/>
        </w:rPr>
        <w:t>西安银行是由西安市属国有平台公司、大型外资银行及国内大型企业参股投资的、具有股权多元化和市场化特征的区域性股份制商业银行。注册资本40亿元，下设8家省内分行、174家营业网点，控股2家村镇银行，参股1家汽车金融公司，正在筹建西银创投公司（投贷联动子公司）和金融租赁公司，初步构建了综合化、多元化的金融集团运营模式。在英国《银行家》杂志“全球前1,000家”银行评选活动中，一级资本排名第393位，居中国入选银行第59位；在中国《银行家》杂志“2016年度资产规模2,000-3,000亿元城市商业银行综合排名”中名列第5名并荣获“最佳公司治理城商行”荣誉称号；连续多年被西安市政府评为“支持西安经济发展成绩显著金融单位”、“支持西安经济最佳金融机构”和“纳税先进企业”称号。</w:t>
      </w:r>
    </w:p>
    <w:p>
      <w:pPr>
        <w:ind w:firstLine="420" w:firstLineChars="200"/>
        <w:jc w:val="left"/>
        <w:rPr>
          <w:rFonts w:ascii="仿宋_GB2312" w:eastAsia="仿宋_GB2312"/>
          <w:szCs w:val="21"/>
        </w:rPr>
      </w:pPr>
    </w:p>
    <w:p>
      <w:pPr>
        <w:jc w:val="left"/>
        <w:rPr>
          <w:rFonts w:ascii="仿宋_GB2312" w:eastAsia="仿宋_GB2312"/>
          <w:b/>
          <w:szCs w:val="21"/>
        </w:rPr>
      </w:pPr>
      <w:r>
        <w:rPr>
          <w:rFonts w:hint="eastAsia" w:ascii="仿宋_GB2312" w:eastAsia="仿宋_GB2312"/>
          <w:b/>
          <w:szCs w:val="21"/>
        </w:rPr>
        <w:t>二、招聘岗位及主要职责。</w:t>
      </w:r>
    </w:p>
    <w:p>
      <w:pPr>
        <w:ind w:firstLine="435"/>
        <w:jc w:val="left"/>
        <w:rPr>
          <w:rFonts w:ascii="仿宋_GB2312" w:eastAsia="仿宋_GB2312"/>
          <w:b/>
          <w:szCs w:val="21"/>
        </w:rPr>
      </w:pPr>
      <w:r>
        <w:rPr>
          <w:rFonts w:hint="eastAsia" w:ascii="仿宋_GB2312" w:eastAsia="仿宋_GB2312"/>
          <w:b/>
          <w:szCs w:val="21"/>
        </w:rPr>
        <w:t>（一）总行董事会办公室</w:t>
      </w:r>
    </w:p>
    <w:p>
      <w:pPr>
        <w:ind w:firstLine="435"/>
        <w:jc w:val="left"/>
        <w:rPr>
          <w:rFonts w:ascii="仿宋_GB2312" w:eastAsia="仿宋_GB2312"/>
          <w:b/>
          <w:szCs w:val="21"/>
        </w:rPr>
      </w:pPr>
      <w:r>
        <w:rPr>
          <w:rFonts w:hint="eastAsia" w:ascii="仿宋_GB2312" w:eastAsia="仿宋_GB2312"/>
          <w:b/>
          <w:sz w:val="40"/>
          <w:szCs w:val="21"/>
        </w:rPr>
        <w:t>●</w:t>
      </w:r>
      <w:r>
        <w:rPr>
          <w:rFonts w:hint="eastAsia" w:ascii="仿宋_GB2312" w:eastAsia="仿宋_GB2312"/>
          <w:b/>
          <w:szCs w:val="21"/>
        </w:rPr>
        <w:t>投资人关系管理岗（若干名）</w:t>
      </w:r>
    </w:p>
    <w:p>
      <w:pPr>
        <w:ind w:firstLine="435"/>
        <w:jc w:val="left"/>
        <w:rPr>
          <w:rFonts w:ascii="仿宋_GB2312" w:eastAsia="仿宋_GB2312"/>
          <w:szCs w:val="21"/>
        </w:rPr>
      </w:pPr>
      <w:r>
        <w:rPr>
          <w:rFonts w:hint="eastAsia" w:ascii="仿宋_GB2312" w:eastAsia="仿宋_GB2312"/>
          <w:szCs w:val="21"/>
        </w:rPr>
        <w:t>1、制定并实施投资者关系管理年度计划，制定本行投资者信息交流策略;2、负责接待外部相关来电来访来函;3、负责组织召开路演、业绩说明会、投资者交流会，参与外部机构组织的投资者会议和宣传推介;4、对资本市场进行调研跟踪分析研究，提升资本市场的关注度和估值水平。</w:t>
      </w:r>
    </w:p>
    <w:p>
      <w:pPr>
        <w:ind w:firstLine="435"/>
        <w:jc w:val="left"/>
        <w:rPr>
          <w:rFonts w:ascii="仿宋_GB2312" w:eastAsia="仿宋_GB2312"/>
          <w:b/>
          <w:szCs w:val="21"/>
        </w:rPr>
      </w:pPr>
      <w:r>
        <w:rPr>
          <w:rFonts w:hint="eastAsia" w:ascii="仿宋_GB2312" w:eastAsia="仿宋_GB2312"/>
          <w:b/>
          <w:sz w:val="40"/>
          <w:szCs w:val="21"/>
        </w:rPr>
        <w:t>●</w:t>
      </w:r>
      <w:r>
        <w:rPr>
          <w:rFonts w:hint="eastAsia" w:ascii="仿宋_GB2312" w:eastAsia="仿宋_GB2312"/>
          <w:b/>
          <w:szCs w:val="21"/>
        </w:rPr>
        <w:t>信息披露岗（若干名）</w:t>
      </w:r>
    </w:p>
    <w:p>
      <w:pPr>
        <w:ind w:firstLine="435"/>
        <w:jc w:val="left"/>
        <w:rPr>
          <w:rFonts w:ascii="仿宋_GB2312" w:eastAsia="仿宋_GB2312"/>
          <w:szCs w:val="21"/>
        </w:rPr>
      </w:pPr>
      <w:r>
        <w:rPr>
          <w:rFonts w:hint="eastAsia" w:ascii="仿宋_GB2312" w:eastAsia="仿宋_GB2312"/>
          <w:szCs w:val="21"/>
        </w:rPr>
        <w:t>1、督促各相关部门和信息披露义务人落实信息披露制度和重大信息内部报告制度;2、按照银监会、证监会、交易所、企业会计准则的要求，组织做好各类报告的编制与披露;3、与交易所和其他监管机构保持沟通和密切联系，及时回复问询。</w:t>
      </w:r>
    </w:p>
    <w:p>
      <w:pPr>
        <w:ind w:firstLine="435"/>
        <w:jc w:val="left"/>
        <w:rPr>
          <w:rFonts w:hint="eastAsia" w:ascii="仿宋_GB2312" w:eastAsia="仿宋_GB2312"/>
          <w:b/>
          <w:szCs w:val="21"/>
        </w:rPr>
      </w:pPr>
      <w:r>
        <w:rPr>
          <w:rFonts w:hint="eastAsia" w:ascii="仿宋_GB2312" w:eastAsia="仿宋_GB2312"/>
          <w:b/>
          <w:sz w:val="40"/>
          <w:szCs w:val="21"/>
        </w:rPr>
        <w:t>●</w:t>
      </w:r>
      <w:r>
        <w:rPr>
          <w:rFonts w:hint="eastAsia" w:eastAsia="仿宋_GB2312"/>
          <w:b/>
          <w:szCs w:val="21"/>
        </w:rPr>
        <w:t>发展研究岗</w:t>
      </w:r>
      <w:r>
        <w:rPr>
          <w:rFonts w:hint="eastAsia" w:ascii="仿宋_GB2312" w:eastAsia="仿宋_GB2312"/>
          <w:b/>
          <w:szCs w:val="21"/>
        </w:rPr>
        <w:t>（若干名）</w:t>
      </w:r>
    </w:p>
    <w:p>
      <w:pPr>
        <w:ind w:firstLine="435"/>
        <w:jc w:val="left"/>
        <w:rPr>
          <w:rFonts w:hint="eastAsia" w:eastAsia="仿宋_GB2312"/>
          <w:szCs w:val="21"/>
        </w:rPr>
      </w:pPr>
      <w:r>
        <w:rPr>
          <w:rFonts w:hint="eastAsia" w:ascii="仿宋_GB2312" w:eastAsia="仿宋_GB2312"/>
          <w:szCs w:val="21"/>
        </w:rPr>
        <w:t>1、研究国内宏观经济；2、开展国内同业的竞争性研究；3、开展区域经济、行业经济研究，为本行业务拓展及风控提供服务。</w:t>
      </w:r>
    </w:p>
    <w:p>
      <w:pPr>
        <w:ind w:firstLine="435"/>
        <w:jc w:val="left"/>
        <w:rPr>
          <w:rFonts w:hint="eastAsia" w:ascii="仿宋_GB2312" w:eastAsia="仿宋_GB2312"/>
          <w:b/>
          <w:szCs w:val="21"/>
        </w:rPr>
      </w:pPr>
    </w:p>
    <w:p>
      <w:pPr>
        <w:ind w:firstLine="435"/>
        <w:jc w:val="left"/>
        <w:rPr>
          <w:rFonts w:ascii="仿宋_GB2312" w:eastAsia="仿宋_GB2312"/>
          <w:b/>
          <w:szCs w:val="21"/>
        </w:rPr>
      </w:pPr>
      <w:r>
        <w:rPr>
          <w:rFonts w:hint="eastAsia" w:ascii="仿宋_GB2312" w:eastAsia="仿宋_GB2312"/>
          <w:b/>
          <w:szCs w:val="21"/>
        </w:rPr>
        <w:t>（二）总行行长办公室</w:t>
      </w:r>
    </w:p>
    <w:p>
      <w:pPr>
        <w:ind w:firstLine="435"/>
        <w:jc w:val="left"/>
        <w:rPr>
          <w:rFonts w:ascii="仿宋_GB2312" w:eastAsia="仿宋_GB2312"/>
          <w:b/>
          <w:szCs w:val="21"/>
        </w:rPr>
      </w:pPr>
      <w:r>
        <w:rPr>
          <w:rFonts w:hint="eastAsia" w:ascii="仿宋_GB2312" w:eastAsia="仿宋_GB2312"/>
          <w:b/>
          <w:sz w:val="40"/>
          <w:szCs w:val="21"/>
        </w:rPr>
        <w:t>●</w:t>
      </w:r>
      <w:r>
        <w:rPr>
          <w:rFonts w:hint="eastAsia" w:ascii="仿宋_GB2312" w:eastAsia="仿宋_GB2312"/>
          <w:b/>
          <w:szCs w:val="21"/>
        </w:rPr>
        <w:t>宣传管理岗（若干名）</w:t>
      </w:r>
    </w:p>
    <w:p>
      <w:pPr>
        <w:ind w:firstLine="435"/>
        <w:jc w:val="left"/>
        <w:rPr>
          <w:rFonts w:ascii="仿宋_GB2312" w:eastAsia="仿宋_GB2312"/>
          <w:szCs w:val="21"/>
        </w:rPr>
      </w:pPr>
      <w:r>
        <w:rPr>
          <w:rFonts w:hint="eastAsia" w:ascii="仿宋_GB2312" w:eastAsia="仿宋_GB2312"/>
          <w:szCs w:val="21"/>
        </w:rPr>
        <w:t>1、负责组织管理全行对外宣传、管理协调各类媒介渠道；2、负责起草全行性宣传类文字稿件；3、负责信息调研工作，及时向政府、监管等关联部门报告我行相关信息；4、协助本行品牌建设及企业文化建设。</w:t>
      </w:r>
    </w:p>
    <w:p>
      <w:pPr>
        <w:ind w:firstLine="435"/>
        <w:jc w:val="left"/>
        <w:rPr>
          <w:rFonts w:ascii="仿宋_GB2312" w:eastAsia="仿宋_GB2312"/>
          <w:b/>
          <w:szCs w:val="21"/>
        </w:rPr>
      </w:pPr>
    </w:p>
    <w:p>
      <w:pPr>
        <w:ind w:firstLine="435"/>
        <w:jc w:val="left"/>
        <w:rPr>
          <w:rFonts w:ascii="仿宋_GB2312" w:eastAsia="仿宋_GB2312"/>
          <w:b/>
          <w:szCs w:val="21"/>
        </w:rPr>
      </w:pPr>
      <w:r>
        <w:rPr>
          <w:rFonts w:hint="eastAsia" w:ascii="仿宋_GB2312" w:eastAsia="仿宋_GB2312"/>
          <w:b/>
          <w:szCs w:val="21"/>
        </w:rPr>
        <w:t>（三）总行党委办公室</w:t>
      </w:r>
    </w:p>
    <w:p>
      <w:pPr>
        <w:ind w:firstLine="435"/>
        <w:jc w:val="left"/>
        <w:rPr>
          <w:rFonts w:ascii="仿宋_GB2312" w:eastAsia="仿宋_GB2312"/>
          <w:b/>
          <w:szCs w:val="21"/>
        </w:rPr>
      </w:pPr>
      <w:r>
        <w:rPr>
          <w:rFonts w:hint="eastAsia" w:ascii="仿宋_GB2312" w:eastAsia="仿宋_GB2312"/>
          <w:b/>
          <w:sz w:val="40"/>
          <w:szCs w:val="21"/>
        </w:rPr>
        <w:t>●</w:t>
      </w:r>
      <w:r>
        <w:rPr>
          <w:rFonts w:hint="eastAsia" w:ascii="仿宋_GB2312" w:eastAsia="仿宋_GB2312"/>
          <w:b/>
          <w:szCs w:val="21"/>
        </w:rPr>
        <w:t>党风廉政建设及宣传教育岗（若干名）</w:t>
      </w:r>
    </w:p>
    <w:p>
      <w:pPr>
        <w:ind w:firstLine="435"/>
        <w:jc w:val="left"/>
        <w:rPr>
          <w:rFonts w:ascii="仿宋_GB2312" w:eastAsia="仿宋_GB2312"/>
          <w:szCs w:val="21"/>
        </w:rPr>
      </w:pPr>
      <w:r>
        <w:rPr>
          <w:rFonts w:hint="eastAsia" w:ascii="仿宋_GB2312" w:eastAsia="仿宋_GB2312"/>
          <w:szCs w:val="21"/>
        </w:rPr>
        <w:t>1、宣传和贯彻党的路线方针政策和上级组织重要会议、精神；2、组织开展调研工作，包括方案拟定、组织实施以及调研报告的撰写，为领导决策和改进工作提供服务；3、负责全行党建宣传工作，制定完善党建宣传制度，加强宣传队伍的日常管理；4、负责企业文化建设的调研、规划、宣传推广工作。</w:t>
      </w:r>
    </w:p>
    <w:p>
      <w:pPr>
        <w:ind w:firstLine="435"/>
        <w:jc w:val="left"/>
        <w:rPr>
          <w:rFonts w:ascii="仿宋_GB2312" w:eastAsia="仿宋_GB2312"/>
          <w:szCs w:val="21"/>
        </w:rPr>
      </w:pPr>
    </w:p>
    <w:p>
      <w:pPr>
        <w:ind w:firstLine="435"/>
        <w:jc w:val="left"/>
        <w:rPr>
          <w:rFonts w:ascii="仿宋_GB2312" w:eastAsia="仿宋_GB2312"/>
          <w:b/>
          <w:szCs w:val="21"/>
        </w:rPr>
      </w:pPr>
      <w:r>
        <w:rPr>
          <w:rFonts w:hint="eastAsia" w:ascii="仿宋_GB2312" w:eastAsia="仿宋_GB2312"/>
          <w:b/>
          <w:szCs w:val="21"/>
        </w:rPr>
        <w:t>（四）总行公司业务部</w:t>
      </w:r>
    </w:p>
    <w:p>
      <w:pPr>
        <w:ind w:firstLine="435"/>
        <w:jc w:val="left"/>
        <w:rPr>
          <w:rFonts w:ascii="仿宋_GB2312" w:eastAsia="仿宋_GB2312"/>
          <w:b/>
          <w:szCs w:val="21"/>
        </w:rPr>
      </w:pPr>
      <w:r>
        <w:rPr>
          <w:rFonts w:hint="eastAsia" w:ascii="仿宋_GB2312" w:eastAsia="仿宋_GB2312"/>
          <w:b/>
          <w:sz w:val="40"/>
          <w:szCs w:val="21"/>
        </w:rPr>
        <w:t>●</w:t>
      </w:r>
      <w:r>
        <w:rPr>
          <w:rFonts w:hint="eastAsia" w:ascii="仿宋_GB2312" w:eastAsia="仿宋_GB2312"/>
          <w:b/>
          <w:szCs w:val="21"/>
        </w:rPr>
        <w:t>统计分析岗（若干名）</w:t>
      </w:r>
    </w:p>
    <w:p>
      <w:pPr>
        <w:ind w:firstLine="435"/>
        <w:jc w:val="left"/>
        <w:rPr>
          <w:rFonts w:ascii="仿宋_GB2312" w:eastAsia="仿宋_GB2312"/>
          <w:szCs w:val="21"/>
        </w:rPr>
      </w:pPr>
      <w:r>
        <w:rPr>
          <w:rFonts w:hint="eastAsia" w:ascii="仿宋_GB2312" w:eastAsia="仿宋_GB2312"/>
          <w:szCs w:val="21"/>
        </w:rPr>
        <w:t>1、日常跟踪，监控和分析本行及分支机构公司业务的各项指标数据；2、统计分析本行公司产品销售及营销活动情况；3、定期统计、考核激励和通报公司业务计划指标完成情况；4、定期完成本部门工作总结、业务运营分析以及行内外各项专题调研报告。</w:t>
      </w:r>
    </w:p>
    <w:p>
      <w:pPr>
        <w:ind w:firstLine="435"/>
        <w:jc w:val="left"/>
        <w:rPr>
          <w:rFonts w:ascii="仿宋_GB2312" w:eastAsia="仿宋_GB2312"/>
          <w:b/>
          <w:szCs w:val="21"/>
        </w:rPr>
      </w:pPr>
      <w:r>
        <w:rPr>
          <w:rFonts w:hint="eastAsia" w:ascii="仿宋_GB2312" w:eastAsia="仿宋_GB2312"/>
          <w:b/>
          <w:sz w:val="40"/>
          <w:szCs w:val="21"/>
        </w:rPr>
        <w:t>●</w:t>
      </w:r>
      <w:r>
        <w:rPr>
          <w:rFonts w:hint="eastAsia" w:ascii="仿宋_GB2312" w:eastAsia="仿宋_GB2312"/>
          <w:b/>
          <w:szCs w:val="21"/>
        </w:rPr>
        <w:t>产品管理岗（若干名）</w:t>
      </w:r>
    </w:p>
    <w:p>
      <w:pPr>
        <w:ind w:firstLine="435"/>
        <w:jc w:val="left"/>
        <w:rPr>
          <w:rFonts w:ascii="仿宋_GB2312" w:eastAsia="仿宋_GB2312"/>
          <w:szCs w:val="21"/>
        </w:rPr>
      </w:pPr>
      <w:r>
        <w:rPr>
          <w:rFonts w:hint="eastAsia" w:ascii="仿宋_GB2312" w:eastAsia="仿宋_GB2312"/>
          <w:szCs w:val="21"/>
        </w:rPr>
        <w:t>1、研究同业金融产品动态，拟定全行公司业务产品开发规划和策略；2、开发与测试公司业务产品，制定营销策划和推广方案，参与广告策划与制作；3、新产品相关管理办法的制定、营销培训，以及指导和考核分支行产品营销，推动公司业务新产品的市场销售；4、负责综合性项目的开发，提出、拟定开发需求、计划和预算，协同项目小组完成产品开发。</w:t>
      </w:r>
    </w:p>
    <w:p>
      <w:pPr>
        <w:ind w:firstLine="435"/>
        <w:jc w:val="left"/>
        <w:rPr>
          <w:rFonts w:ascii="仿宋_GB2312" w:eastAsia="仿宋_GB2312"/>
          <w:b/>
          <w:szCs w:val="21"/>
        </w:rPr>
      </w:pPr>
      <w:r>
        <w:rPr>
          <w:rFonts w:hint="eastAsia" w:ascii="仿宋_GB2312" w:eastAsia="仿宋_GB2312"/>
          <w:b/>
          <w:sz w:val="40"/>
          <w:szCs w:val="21"/>
        </w:rPr>
        <w:t>●</w:t>
      </w:r>
      <w:r>
        <w:rPr>
          <w:rFonts w:hint="eastAsia" w:ascii="仿宋_GB2312" w:eastAsia="仿宋_GB2312"/>
          <w:b/>
          <w:szCs w:val="21"/>
        </w:rPr>
        <w:t>营销管理岗（若干名）</w:t>
      </w:r>
    </w:p>
    <w:p>
      <w:pPr>
        <w:ind w:firstLine="435"/>
        <w:jc w:val="left"/>
        <w:rPr>
          <w:rFonts w:ascii="仿宋_GB2312" w:eastAsia="仿宋_GB2312"/>
          <w:szCs w:val="21"/>
        </w:rPr>
      </w:pPr>
      <w:r>
        <w:rPr>
          <w:rFonts w:hint="eastAsia" w:ascii="仿宋_GB2312" w:eastAsia="仿宋_GB2312"/>
          <w:szCs w:val="21"/>
        </w:rPr>
        <w:t>1、针对目标客户的金融需求以及银行同业竞争形势，结合本行实际情况拟定营销策略和具体营销方案，并协同实施营销方案2、促进联动营销和交叉销售，推动存款、中间业务、结算业务、贷款业务的发展；3、收集、汇总、分析及反馈客户对新业务的需求；针对新业务提出产品开发需求，协助完成产品的设计开发，参与新产品测试与推广。</w:t>
      </w:r>
    </w:p>
    <w:p>
      <w:pPr>
        <w:ind w:firstLine="435"/>
        <w:jc w:val="left"/>
        <w:rPr>
          <w:rFonts w:ascii="仿宋_GB2312" w:eastAsia="仿宋_GB2312"/>
          <w:b/>
          <w:szCs w:val="21"/>
        </w:rPr>
      </w:pPr>
      <w:r>
        <w:rPr>
          <w:rFonts w:hint="eastAsia" w:ascii="仿宋_GB2312" w:eastAsia="仿宋_GB2312"/>
          <w:b/>
          <w:sz w:val="40"/>
          <w:szCs w:val="21"/>
        </w:rPr>
        <w:t>●</w:t>
      </w:r>
      <w:r>
        <w:rPr>
          <w:rFonts w:hint="eastAsia" w:ascii="仿宋_GB2312" w:eastAsia="仿宋_GB2312"/>
          <w:b/>
          <w:szCs w:val="21"/>
        </w:rPr>
        <w:t>客户管理岗（若干名）</w:t>
      </w:r>
    </w:p>
    <w:p>
      <w:pPr>
        <w:ind w:firstLine="435"/>
        <w:jc w:val="left"/>
        <w:rPr>
          <w:rFonts w:ascii="仿宋_GB2312" w:eastAsia="仿宋_GB2312"/>
          <w:szCs w:val="21"/>
        </w:rPr>
      </w:pPr>
      <w:r>
        <w:rPr>
          <w:rFonts w:hint="eastAsia" w:ascii="仿宋_GB2312" w:eastAsia="仿宋_GB2312"/>
          <w:szCs w:val="21"/>
        </w:rPr>
        <w:t>1、搜集和分析全行公司存款及贷款客户信息，提供综合信息服务；2、评估公司客户结构，拟定结构调整策略，制定客户年度发展目标，并组织实施和考核；3、制定公司信贷客户营销管理办法，对分支机构拟营销的信贷客户进行准入评价和关系管理；4、组织客户市场调研，为产品开发和开展营销活动提供支持。</w:t>
      </w:r>
    </w:p>
    <w:p>
      <w:pPr>
        <w:ind w:firstLine="435"/>
        <w:jc w:val="left"/>
        <w:rPr>
          <w:rFonts w:ascii="仿宋_GB2312" w:eastAsia="仿宋_GB2312"/>
          <w:szCs w:val="21"/>
        </w:rPr>
      </w:pPr>
    </w:p>
    <w:p>
      <w:pPr>
        <w:ind w:firstLine="435"/>
        <w:jc w:val="left"/>
        <w:rPr>
          <w:rFonts w:ascii="仿宋_GB2312" w:eastAsia="仿宋_GB2312"/>
          <w:b/>
          <w:szCs w:val="21"/>
        </w:rPr>
      </w:pPr>
      <w:r>
        <w:rPr>
          <w:rFonts w:hint="eastAsia" w:ascii="仿宋_GB2312" w:eastAsia="仿宋_GB2312"/>
          <w:b/>
          <w:szCs w:val="21"/>
        </w:rPr>
        <w:t>（五）总行计划财务部</w:t>
      </w:r>
    </w:p>
    <w:p>
      <w:pPr>
        <w:ind w:firstLine="435"/>
        <w:jc w:val="left"/>
        <w:rPr>
          <w:rFonts w:ascii="仿宋_GB2312" w:eastAsia="仿宋_GB2312"/>
          <w:b/>
          <w:szCs w:val="21"/>
        </w:rPr>
      </w:pPr>
      <w:r>
        <w:rPr>
          <w:rFonts w:hint="eastAsia" w:ascii="仿宋_GB2312" w:eastAsia="仿宋_GB2312"/>
          <w:b/>
          <w:sz w:val="40"/>
          <w:szCs w:val="21"/>
        </w:rPr>
        <w:t>●</w:t>
      </w:r>
      <w:r>
        <w:rPr>
          <w:rFonts w:hint="eastAsia" w:ascii="仿宋_GB2312" w:eastAsia="仿宋_GB2312"/>
          <w:b/>
          <w:szCs w:val="21"/>
        </w:rPr>
        <w:t>内部资金转移定价管理岗（若干名）</w:t>
      </w:r>
    </w:p>
    <w:p>
      <w:pPr>
        <w:ind w:firstLine="435"/>
        <w:jc w:val="left"/>
        <w:rPr>
          <w:rFonts w:ascii="仿宋_GB2312" w:eastAsia="仿宋_GB2312"/>
          <w:szCs w:val="21"/>
        </w:rPr>
      </w:pPr>
      <w:r>
        <w:rPr>
          <w:rFonts w:hint="eastAsia" w:ascii="仿宋_GB2312" w:eastAsia="仿宋_GB2312"/>
          <w:szCs w:val="21"/>
        </w:rPr>
        <w:t>1、组织并协调全行内部资金管理与定价，调整并公布系统内资金价格；2、组织各部门完成本业务条线FTP执行情况分析，并汇总形成管理情况报告；3、拟定FTP利润预算方案，配合财务预算管理岗完成预算工作；4、组织本行有效应对利率市场化变革进程中的监管新规，协调全行逐步建立、完善科学的产品综合定价体系。</w:t>
      </w:r>
    </w:p>
    <w:p>
      <w:pPr>
        <w:ind w:firstLine="435"/>
        <w:jc w:val="left"/>
        <w:rPr>
          <w:rFonts w:ascii="仿宋_GB2312" w:eastAsia="仿宋_GB2312"/>
          <w:b/>
          <w:szCs w:val="21"/>
        </w:rPr>
      </w:pPr>
      <w:r>
        <w:rPr>
          <w:rFonts w:hint="eastAsia" w:ascii="仿宋_GB2312" w:eastAsia="仿宋_GB2312"/>
          <w:b/>
          <w:sz w:val="40"/>
          <w:szCs w:val="21"/>
        </w:rPr>
        <w:t>●</w:t>
      </w:r>
      <w:r>
        <w:rPr>
          <w:rFonts w:hint="eastAsia" w:ascii="仿宋_GB2312" w:eastAsia="仿宋_GB2312"/>
          <w:b/>
          <w:szCs w:val="21"/>
        </w:rPr>
        <w:t>流动性管理岗（若干名）</w:t>
      </w:r>
    </w:p>
    <w:p>
      <w:pPr>
        <w:ind w:firstLine="435"/>
        <w:jc w:val="left"/>
        <w:rPr>
          <w:rFonts w:ascii="仿宋_GB2312" w:eastAsia="仿宋_GB2312"/>
          <w:szCs w:val="21"/>
        </w:rPr>
      </w:pPr>
      <w:r>
        <w:rPr>
          <w:rFonts w:hint="eastAsia" w:ascii="仿宋_GB2312" w:eastAsia="仿宋_GB2312"/>
          <w:szCs w:val="21"/>
        </w:rPr>
        <w:t>1、承担全行本外币流动性风险管理职能；2、拟订和实施全行流动性有关管理政策、办法、细则；3、负责全行资金供需总量结构平衡管理，开展人民银行再贷款、再贴现融资业务，促使全行业务发展总量、结构和增速满足流动性风险管理需要；4、设置内部风险限额指标，计量、监测、评估、分析流动性风险状况，编制流动性风险管理报告，并提出管理措施建议。</w:t>
      </w:r>
    </w:p>
    <w:p>
      <w:pPr>
        <w:ind w:firstLine="435"/>
        <w:jc w:val="left"/>
        <w:rPr>
          <w:rFonts w:ascii="仿宋_GB2312" w:eastAsia="仿宋_GB2312"/>
          <w:b/>
          <w:szCs w:val="21"/>
        </w:rPr>
      </w:pPr>
      <w:r>
        <w:rPr>
          <w:rFonts w:hint="eastAsia" w:ascii="仿宋_GB2312" w:eastAsia="仿宋_GB2312"/>
          <w:b/>
          <w:sz w:val="40"/>
          <w:szCs w:val="21"/>
        </w:rPr>
        <w:t>●</w:t>
      </w:r>
      <w:r>
        <w:rPr>
          <w:rFonts w:hint="eastAsia" w:ascii="仿宋_GB2312" w:eastAsia="仿宋_GB2312"/>
          <w:b/>
          <w:szCs w:val="21"/>
        </w:rPr>
        <w:t>金融统计岗职位说明书（若干名）</w:t>
      </w:r>
    </w:p>
    <w:p>
      <w:pPr>
        <w:ind w:firstLine="435"/>
        <w:jc w:val="left"/>
        <w:rPr>
          <w:rFonts w:ascii="仿宋_GB2312" w:eastAsia="仿宋_GB2312"/>
          <w:szCs w:val="21"/>
        </w:rPr>
      </w:pPr>
      <w:r>
        <w:rPr>
          <w:rFonts w:hint="eastAsia" w:ascii="仿宋_GB2312" w:eastAsia="仿宋_GB2312"/>
          <w:szCs w:val="21"/>
        </w:rPr>
        <w:t>1、执行外部行业监管机构制定的各项统计管理规定、制度和办法，并拟定全行金融统计管理制度、金融统计业务制度和流程；2、负责填报、报送银监局、人行、统计局、金融办等部门统计报表；3、牵头组织实施外部监管部门布置的各项统计工作，配合外部行业监管机构对我行金融统计工作的检查；4、开展我行统一监管报送平台系统的管理、更新、升级及培训工作。</w:t>
      </w:r>
    </w:p>
    <w:p>
      <w:pPr>
        <w:jc w:val="left"/>
        <w:rPr>
          <w:rFonts w:ascii="仿宋_GB2312" w:eastAsia="仿宋_GB2312"/>
          <w:b/>
          <w:szCs w:val="21"/>
        </w:rPr>
      </w:pPr>
      <w:r>
        <w:rPr>
          <w:rFonts w:hint="eastAsia" w:ascii="仿宋_GB2312" w:eastAsia="仿宋_GB2312"/>
          <w:b/>
          <w:szCs w:val="21"/>
        </w:rPr>
        <w:t>三、招聘要求</w:t>
      </w:r>
    </w:p>
    <w:p>
      <w:pPr>
        <w:ind w:firstLine="435"/>
        <w:jc w:val="left"/>
        <w:rPr>
          <w:rFonts w:ascii="仿宋_GB2312" w:eastAsia="仿宋_GB2312"/>
          <w:szCs w:val="21"/>
        </w:rPr>
      </w:pPr>
      <w:r>
        <w:rPr>
          <w:rFonts w:hint="eastAsia" w:ascii="仿宋_GB2312" w:eastAsia="仿宋_GB2312"/>
          <w:szCs w:val="21"/>
        </w:rPr>
        <w:t>（一）年龄要求：35周岁以下。</w:t>
      </w:r>
    </w:p>
    <w:p>
      <w:pPr>
        <w:ind w:firstLine="435"/>
        <w:jc w:val="left"/>
        <w:rPr>
          <w:rFonts w:ascii="仿宋_GB2312" w:eastAsia="仿宋_GB2312"/>
          <w:szCs w:val="21"/>
        </w:rPr>
      </w:pPr>
      <w:r>
        <w:rPr>
          <w:rFonts w:hint="eastAsia" w:ascii="仿宋_GB2312" w:eastAsia="仿宋_GB2312"/>
          <w:szCs w:val="21"/>
        </w:rPr>
        <w:t>（二）学历要求：全日制硕士研究生及以上学历（本、硕均为985、211院校）。</w:t>
      </w:r>
    </w:p>
    <w:p>
      <w:pPr>
        <w:ind w:firstLine="435"/>
        <w:jc w:val="left"/>
        <w:rPr>
          <w:rFonts w:ascii="仿宋_GB2312" w:eastAsia="仿宋_GB2312"/>
          <w:szCs w:val="21"/>
        </w:rPr>
      </w:pPr>
      <w:r>
        <w:rPr>
          <w:rFonts w:hint="eastAsia" w:ascii="仿宋_GB2312" w:eastAsia="仿宋_GB2312"/>
          <w:szCs w:val="21"/>
        </w:rPr>
        <w:t>（三）专业要求：信息科技、计算机应用与技术、新闻学、传播学、金融学、经济学、投资学、会计学、统计学、财务管管理、经济法、民商法等银行业相关专业。</w:t>
      </w:r>
    </w:p>
    <w:p>
      <w:pPr>
        <w:ind w:firstLine="435"/>
        <w:jc w:val="left"/>
        <w:rPr>
          <w:rFonts w:ascii="仿宋_GB2312" w:eastAsia="仿宋_GB2312"/>
          <w:szCs w:val="21"/>
        </w:rPr>
      </w:pPr>
      <w:r>
        <w:rPr>
          <w:rFonts w:hint="eastAsia" w:ascii="仿宋_GB2312" w:eastAsia="仿宋_GB2312"/>
          <w:szCs w:val="21"/>
        </w:rPr>
        <w:t>（四）能力要求：具有较强的文字写作能力和良好的表达沟通能力；具有较强的组织协调能力和良好的团队合作精神；具有勇于挑战、勤勉务实的工作作风。</w:t>
      </w:r>
    </w:p>
    <w:p>
      <w:pPr>
        <w:ind w:firstLine="435"/>
        <w:jc w:val="left"/>
        <w:rPr>
          <w:rFonts w:ascii="仿宋_GB2312" w:eastAsia="仿宋_GB2312"/>
          <w:szCs w:val="21"/>
        </w:rPr>
      </w:pPr>
      <w:r>
        <w:rPr>
          <w:rFonts w:hint="eastAsia" w:ascii="仿宋_GB2312" w:eastAsia="仿宋_GB2312"/>
          <w:szCs w:val="21"/>
        </w:rPr>
        <w:t>（五）履历要求：2019或2018年应往届毕业生；具有三年以上银行业或金融业相关岗位工作经历。</w:t>
      </w:r>
    </w:p>
    <w:p>
      <w:pPr>
        <w:ind w:firstLine="435"/>
        <w:jc w:val="left"/>
        <w:rPr>
          <w:rFonts w:ascii="仿宋_GB2312" w:eastAsia="仿宋_GB2312"/>
          <w:szCs w:val="21"/>
        </w:rPr>
      </w:pPr>
      <w:r>
        <w:rPr>
          <w:rFonts w:hint="eastAsia" w:ascii="仿宋_GB2312" w:eastAsia="仿宋_GB2312"/>
          <w:szCs w:val="21"/>
        </w:rPr>
        <w:t>（六）有注册会计师资格、法律职业资格、特许金融分析师、金融风险管理师及上市公司、会计师事务所、证券及投资银行、咨询公司、媒体从业背景人士优先。</w:t>
      </w:r>
    </w:p>
    <w:p>
      <w:pPr>
        <w:ind w:firstLine="435"/>
        <w:jc w:val="left"/>
        <w:rPr>
          <w:rFonts w:ascii="仿宋_GB2312" w:eastAsia="仿宋_GB2312"/>
          <w:szCs w:val="21"/>
        </w:rPr>
      </w:pPr>
    </w:p>
    <w:p>
      <w:pPr>
        <w:jc w:val="left"/>
        <w:rPr>
          <w:rFonts w:ascii="仿宋_GB2312" w:eastAsia="仿宋_GB2312"/>
          <w:b/>
          <w:szCs w:val="21"/>
        </w:rPr>
      </w:pPr>
      <w:r>
        <w:rPr>
          <w:rFonts w:hint="eastAsia" w:ascii="仿宋_GB2312" w:eastAsia="仿宋_GB2312"/>
          <w:b/>
          <w:szCs w:val="21"/>
        </w:rPr>
        <w:t>四、工作地点</w:t>
      </w:r>
    </w:p>
    <w:p>
      <w:pPr>
        <w:ind w:firstLine="435"/>
        <w:jc w:val="left"/>
        <w:rPr>
          <w:rFonts w:ascii="仿宋_GB2312" w:eastAsia="仿宋_GB2312"/>
          <w:szCs w:val="21"/>
        </w:rPr>
      </w:pPr>
      <w:r>
        <w:rPr>
          <w:rFonts w:hint="eastAsia" w:ascii="仿宋_GB2312" w:eastAsia="仿宋_GB2312"/>
          <w:szCs w:val="21"/>
        </w:rPr>
        <w:t>陕西省西安市高新路60号西安银行大厦。</w:t>
      </w:r>
    </w:p>
    <w:p>
      <w:pPr>
        <w:ind w:firstLine="435"/>
        <w:jc w:val="left"/>
        <w:rPr>
          <w:rFonts w:ascii="仿宋_GB2312" w:eastAsia="仿宋_GB2312"/>
          <w:szCs w:val="21"/>
        </w:rPr>
      </w:pPr>
    </w:p>
    <w:p>
      <w:pPr>
        <w:jc w:val="left"/>
        <w:rPr>
          <w:rFonts w:ascii="仿宋_GB2312" w:eastAsia="仿宋_GB2312"/>
          <w:b/>
          <w:szCs w:val="21"/>
        </w:rPr>
      </w:pPr>
      <w:r>
        <w:rPr>
          <w:rFonts w:hint="eastAsia" w:ascii="仿宋_GB2312" w:eastAsia="仿宋_GB2312"/>
          <w:b/>
          <w:szCs w:val="21"/>
        </w:rPr>
        <w:t>五、报名办法</w:t>
      </w:r>
    </w:p>
    <w:p>
      <w:pPr>
        <w:ind w:firstLine="420"/>
        <w:jc w:val="left"/>
        <w:rPr>
          <w:rFonts w:ascii="仿宋_GB2312" w:eastAsia="仿宋_GB2312"/>
          <w:szCs w:val="21"/>
        </w:rPr>
      </w:pPr>
      <w:r>
        <w:rPr>
          <w:rFonts w:hint="eastAsia" w:ascii="仿宋_GB2312" w:eastAsia="仿宋_GB2312"/>
          <w:szCs w:val="21"/>
        </w:rPr>
        <w:t>请各应聘人员扫描下方二维码，下载“西安银行应聘报名表”，按要求真实填报信息，于2018年11月15前将文件名以“姓名-学历-院校-岗位（例如：张三-硕士-同济大学-金融统计岗）”发送至zhaopin@xacbank.com。</w:t>
      </w:r>
    </w:p>
    <w:p>
      <w:pPr>
        <w:ind w:firstLine="420"/>
        <w:jc w:val="left"/>
        <w:rPr>
          <w:rFonts w:ascii="仿宋_GB2312" w:eastAsia="仿宋_GB2312"/>
          <w:szCs w:val="21"/>
        </w:rPr>
      </w:pPr>
    </w:p>
    <w:p>
      <w:pPr>
        <w:ind w:firstLine="420"/>
        <w:jc w:val="center"/>
        <w:rPr>
          <w:rFonts w:ascii="仿宋_GB2312" w:eastAsia="仿宋_GB2312"/>
          <w:szCs w:val="21"/>
        </w:rPr>
      </w:pPr>
      <w:r>
        <w:rPr>
          <w:rFonts w:ascii="仿宋_GB2312" w:eastAsia="仿宋_GB2312"/>
          <w:szCs w:val="21"/>
        </w:rPr>
        <w:drawing>
          <wp:inline distT="0" distB="0" distL="0" distR="0">
            <wp:extent cx="1574800" cy="1574800"/>
            <wp:effectExtent l="0" t="0" r="6350" b="6350"/>
            <wp:docPr id="2" name="图片 2" descr="E:\工作\2018招聘\2018西安秋季（10月专场）组团赴外预通知\西安银行应聘报名表-10月专场.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E:\工作\2018招聘\2018西安秋季（10月专场）组团赴外预通知\西安银行应聘报名表-10月专场.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a:xfrm>
                      <a:off x="0" y="0"/>
                      <a:ext cx="1574800" cy="1574800"/>
                    </a:xfrm>
                    <a:prstGeom prst="rect">
                      <a:avLst/>
                    </a:prstGeom>
                    <a:noFill/>
                    <a:ln>
                      <a:noFill/>
                    </a:ln>
                  </pic:spPr>
                </pic:pic>
              </a:graphicData>
            </a:graphic>
          </wp:inline>
        </w:drawing>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3718"/>
    <w:rsid w:val="000102E1"/>
    <w:rsid w:val="000119E7"/>
    <w:rsid w:val="000150BA"/>
    <w:rsid w:val="00017CA6"/>
    <w:rsid w:val="0002346B"/>
    <w:rsid w:val="00033718"/>
    <w:rsid w:val="000369B8"/>
    <w:rsid w:val="00042A0A"/>
    <w:rsid w:val="00045883"/>
    <w:rsid w:val="0004723B"/>
    <w:rsid w:val="00064D48"/>
    <w:rsid w:val="000730F3"/>
    <w:rsid w:val="0007494C"/>
    <w:rsid w:val="000762DA"/>
    <w:rsid w:val="00076594"/>
    <w:rsid w:val="00080DC8"/>
    <w:rsid w:val="00082201"/>
    <w:rsid w:val="00082F74"/>
    <w:rsid w:val="00084146"/>
    <w:rsid w:val="00090BDB"/>
    <w:rsid w:val="00090CA3"/>
    <w:rsid w:val="00090FF8"/>
    <w:rsid w:val="00093253"/>
    <w:rsid w:val="00096238"/>
    <w:rsid w:val="000A0480"/>
    <w:rsid w:val="000A2C15"/>
    <w:rsid w:val="000A4992"/>
    <w:rsid w:val="000A7175"/>
    <w:rsid w:val="000B168E"/>
    <w:rsid w:val="000B5FAD"/>
    <w:rsid w:val="000C041E"/>
    <w:rsid w:val="000C04E9"/>
    <w:rsid w:val="000C0E77"/>
    <w:rsid w:val="000C5720"/>
    <w:rsid w:val="000C67D3"/>
    <w:rsid w:val="000D2003"/>
    <w:rsid w:val="000D36F8"/>
    <w:rsid w:val="000D4082"/>
    <w:rsid w:val="000D5CCB"/>
    <w:rsid w:val="000D6D6F"/>
    <w:rsid w:val="000E4B3F"/>
    <w:rsid w:val="000E5D2A"/>
    <w:rsid w:val="000E7E1A"/>
    <w:rsid w:val="000F019A"/>
    <w:rsid w:val="000F3ACA"/>
    <w:rsid w:val="000F7C3A"/>
    <w:rsid w:val="0010190B"/>
    <w:rsid w:val="00114DB8"/>
    <w:rsid w:val="00117945"/>
    <w:rsid w:val="001230ED"/>
    <w:rsid w:val="00124474"/>
    <w:rsid w:val="001245F7"/>
    <w:rsid w:val="00124CDA"/>
    <w:rsid w:val="001322D8"/>
    <w:rsid w:val="00137AA5"/>
    <w:rsid w:val="00142504"/>
    <w:rsid w:val="00144729"/>
    <w:rsid w:val="00145030"/>
    <w:rsid w:val="001458D0"/>
    <w:rsid w:val="00146909"/>
    <w:rsid w:val="0015513F"/>
    <w:rsid w:val="001572F5"/>
    <w:rsid w:val="00161225"/>
    <w:rsid w:val="0016254F"/>
    <w:rsid w:val="0016317E"/>
    <w:rsid w:val="0017164E"/>
    <w:rsid w:val="0018542E"/>
    <w:rsid w:val="001868D3"/>
    <w:rsid w:val="00196DD2"/>
    <w:rsid w:val="001971F5"/>
    <w:rsid w:val="001A5022"/>
    <w:rsid w:val="001A57A6"/>
    <w:rsid w:val="001A6325"/>
    <w:rsid w:val="001B0AC9"/>
    <w:rsid w:val="001B288A"/>
    <w:rsid w:val="001B35FF"/>
    <w:rsid w:val="001B6A30"/>
    <w:rsid w:val="001B7BDB"/>
    <w:rsid w:val="001C74C9"/>
    <w:rsid w:val="001C7CA2"/>
    <w:rsid w:val="001D3991"/>
    <w:rsid w:val="001D6CF8"/>
    <w:rsid w:val="001D6EDB"/>
    <w:rsid w:val="001E0A20"/>
    <w:rsid w:val="001E356A"/>
    <w:rsid w:val="001F2363"/>
    <w:rsid w:val="001F7EA2"/>
    <w:rsid w:val="00200E3A"/>
    <w:rsid w:val="0020103C"/>
    <w:rsid w:val="00201D7F"/>
    <w:rsid w:val="00202421"/>
    <w:rsid w:val="0020271F"/>
    <w:rsid w:val="00214485"/>
    <w:rsid w:val="00222FCD"/>
    <w:rsid w:val="00225435"/>
    <w:rsid w:val="0023115C"/>
    <w:rsid w:val="00232447"/>
    <w:rsid w:val="00232714"/>
    <w:rsid w:val="00243949"/>
    <w:rsid w:val="00246293"/>
    <w:rsid w:val="00246DCF"/>
    <w:rsid w:val="0025576D"/>
    <w:rsid w:val="0025698C"/>
    <w:rsid w:val="00256CCB"/>
    <w:rsid w:val="002609DD"/>
    <w:rsid w:val="0027143D"/>
    <w:rsid w:val="002718C8"/>
    <w:rsid w:val="00276BF9"/>
    <w:rsid w:val="00281563"/>
    <w:rsid w:val="0028291E"/>
    <w:rsid w:val="00282AB8"/>
    <w:rsid w:val="002855A6"/>
    <w:rsid w:val="0028691A"/>
    <w:rsid w:val="00287B02"/>
    <w:rsid w:val="00290372"/>
    <w:rsid w:val="0029072C"/>
    <w:rsid w:val="002909B4"/>
    <w:rsid w:val="00292E96"/>
    <w:rsid w:val="00292F62"/>
    <w:rsid w:val="002A0770"/>
    <w:rsid w:val="002A59C4"/>
    <w:rsid w:val="002B0483"/>
    <w:rsid w:val="002B4292"/>
    <w:rsid w:val="002B6646"/>
    <w:rsid w:val="002B67D2"/>
    <w:rsid w:val="002C2209"/>
    <w:rsid w:val="002C3B11"/>
    <w:rsid w:val="002C4F05"/>
    <w:rsid w:val="002C523B"/>
    <w:rsid w:val="002C52F4"/>
    <w:rsid w:val="002C6629"/>
    <w:rsid w:val="002D4536"/>
    <w:rsid w:val="002D4798"/>
    <w:rsid w:val="002D5661"/>
    <w:rsid w:val="002D63D3"/>
    <w:rsid w:val="002E66B6"/>
    <w:rsid w:val="002E6A0E"/>
    <w:rsid w:val="002F74CC"/>
    <w:rsid w:val="002F7C9B"/>
    <w:rsid w:val="00300FE5"/>
    <w:rsid w:val="0030215F"/>
    <w:rsid w:val="0030270D"/>
    <w:rsid w:val="00303B2A"/>
    <w:rsid w:val="0031011C"/>
    <w:rsid w:val="00312602"/>
    <w:rsid w:val="00313065"/>
    <w:rsid w:val="003147DE"/>
    <w:rsid w:val="00314E11"/>
    <w:rsid w:val="00315EC3"/>
    <w:rsid w:val="0031751B"/>
    <w:rsid w:val="00322D78"/>
    <w:rsid w:val="00326A36"/>
    <w:rsid w:val="0033691F"/>
    <w:rsid w:val="0034061B"/>
    <w:rsid w:val="00341DBD"/>
    <w:rsid w:val="00345600"/>
    <w:rsid w:val="0035164E"/>
    <w:rsid w:val="00353717"/>
    <w:rsid w:val="0035520D"/>
    <w:rsid w:val="0035580C"/>
    <w:rsid w:val="0036120A"/>
    <w:rsid w:val="003613CF"/>
    <w:rsid w:val="003638B8"/>
    <w:rsid w:val="003642D1"/>
    <w:rsid w:val="003666ED"/>
    <w:rsid w:val="00366A6D"/>
    <w:rsid w:val="00372E4C"/>
    <w:rsid w:val="00376670"/>
    <w:rsid w:val="00381042"/>
    <w:rsid w:val="00381970"/>
    <w:rsid w:val="00382712"/>
    <w:rsid w:val="00387663"/>
    <w:rsid w:val="00387EE1"/>
    <w:rsid w:val="00392BA8"/>
    <w:rsid w:val="003A05DF"/>
    <w:rsid w:val="003A0E57"/>
    <w:rsid w:val="003B6897"/>
    <w:rsid w:val="003C229B"/>
    <w:rsid w:val="003C2B2E"/>
    <w:rsid w:val="003C62AA"/>
    <w:rsid w:val="003C7890"/>
    <w:rsid w:val="003C7C57"/>
    <w:rsid w:val="003D139A"/>
    <w:rsid w:val="003D208E"/>
    <w:rsid w:val="003D4863"/>
    <w:rsid w:val="003E0B91"/>
    <w:rsid w:val="003E6BB5"/>
    <w:rsid w:val="003F03D0"/>
    <w:rsid w:val="003F2137"/>
    <w:rsid w:val="003F2432"/>
    <w:rsid w:val="003F509E"/>
    <w:rsid w:val="0040171E"/>
    <w:rsid w:val="004022E2"/>
    <w:rsid w:val="0040485A"/>
    <w:rsid w:val="004108C6"/>
    <w:rsid w:val="00411F74"/>
    <w:rsid w:val="004159DA"/>
    <w:rsid w:val="00415F10"/>
    <w:rsid w:val="004211E5"/>
    <w:rsid w:val="00422717"/>
    <w:rsid w:val="00424480"/>
    <w:rsid w:val="00430A28"/>
    <w:rsid w:val="0043496D"/>
    <w:rsid w:val="00435320"/>
    <w:rsid w:val="00441DCF"/>
    <w:rsid w:val="00454102"/>
    <w:rsid w:val="00455EC6"/>
    <w:rsid w:val="00460FB5"/>
    <w:rsid w:val="00464C90"/>
    <w:rsid w:val="00466299"/>
    <w:rsid w:val="00466E1E"/>
    <w:rsid w:val="0046700F"/>
    <w:rsid w:val="004724C7"/>
    <w:rsid w:val="00473A5E"/>
    <w:rsid w:val="00475856"/>
    <w:rsid w:val="0047675E"/>
    <w:rsid w:val="00476F33"/>
    <w:rsid w:val="00480E5C"/>
    <w:rsid w:val="00486424"/>
    <w:rsid w:val="0048658E"/>
    <w:rsid w:val="00490FFE"/>
    <w:rsid w:val="00491623"/>
    <w:rsid w:val="00491A0A"/>
    <w:rsid w:val="004929AC"/>
    <w:rsid w:val="0049339B"/>
    <w:rsid w:val="004A34C8"/>
    <w:rsid w:val="004A50D4"/>
    <w:rsid w:val="004A54B2"/>
    <w:rsid w:val="004A7433"/>
    <w:rsid w:val="004B1F88"/>
    <w:rsid w:val="004B4047"/>
    <w:rsid w:val="004B4B12"/>
    <w:rsid w:val="004B5992"/>
    <w:rsid w:val="004B6455"/>
    <w:rsid w:val="004C0D95"/>
    <w:rsid w:val="004C2F94"/>
    <w:rsid w:val="004C6DC4"/>
    <w:rsid w:val="004D0C06"/>
    <w:rsid w:val="004D199B"/>
    <w:rsid w:val="004D1D74"/>
    <w:rsid w:val="004D3E50"/>
    <w:rsid w:val="004D5665"/>
    <w:rsid w:val="004D7B83"/>
    <w:rsid w:val="004E1AB0"/>
    <w:rsid w:val="004E269B"/>
    <w:rsid w:val="004F3B2B"/>
    <w:rsid w:val="004F526C"/>
    <w:rsid w:val="004F5A8F"/>
    <w:rsid w:val="00500C20"/>
    <w:rsid w:val="00506DBB"/>
    <w:rsid w:val="005171DF"/>
    <w:rsid w:val="00522575"/>
    <w:rsid w:val="00525149"/>
    <w:rsid w:val="00536430"/>
    <w:rsid w:val="0054204C"/>
    <w:rsid w:val="00544A62"/>
    <w:rsid w:val="00552CBF"/>
    <w:rsid w:val="00554D78"/>
    <w:rsid w:val="005566A1"/>
    <w:rsid w:val="00557075"/>
    <w:rsid w:val="00563C87"/>
    <w:rsid w:val="00564B0E"/>
    <w:rsid w:val="0057139C"/>
    <w:rsid w:val="0058058E"/>
    <w:rsid w:val="00581FE0"/>
    <w:rsid w:val="00584A40"/>
    <w:rsid w:val="00586FC3"/>
    <w:rsid w:val="00591A42"/>
    <w:rsid w:val="00592DFC"/>
    <w:rsid w:val="0059499D"/>
    <w:rsid w:val="005A143E"/>
    <w:rsid w:val="005A37F2"/>
    <w:rsid w:val="005A4B0B"/>
    <w:rsid w:val="005A6C8A"/>
    <w:rsid w:val="005B0665"/>
    <w:rsid w:val="005B2836"/>
    <w:rsid w:val="005B3282"/>
    <w:rsid w:val="005B3AC3"/>
    <w:rsid w:val="005B3AD2"/>
    <w:rsid w:val="005B719B"/>
    <w:rsid w:val="005C1C58"/>
    <w:rsid w:val="005D056D"/>
    <w:rsid w:val="005D1FFA"/>
    <w:rsid w:val="005D3A33"/>
    <w:rsid w:val="005E1809"/>
    <w:rsid w:val="005E71E1"/>
    <w:rsid w:val="005E7290"/>
    <w:rsid w:val="005F049F"/>
    <w:rsid w:val="00601B39"/>
    <w:rsid w:val="00602759"/>
    <w:rsid w:val="0060509D"/>
    <w:rsid w:val="00607BD2"/>
    <w:rsid w:val="006115ED"/>
    <w:rsid w:val="00614A73"/>
    <w:rsid w:val="00621B69"/>
    <w:rsid w:val="00622F85"/>
    <w:rsid w:val="006232D5"/>
    <w:rsid w:val="006302E7"/>
    <w:rsid w:val="0063032E"/>
    <w:rsid w:val="00630756"/>
    <w:rsid w:val="00635A19"/>
    <w:rsid w:val="00636C9A"/>
    <w:rsid w:val="006452CC"/>
    <w:rsid w:val="0064784C"/>
    <w:rsid w:val="00647EA3"/>
    <w:rsid w:val="006517A0"/>
    <w:rsid w:val="00651A0A"/>
    <w:rsid w:val="0065272B"/>
    <w:rsid w:val="00652A43"/>
    <w:rsid w:val="0065346F"/>
    <w:rsid w:val="00653D94"/>
    <w:rsid w:val="00655EEF"/>
    <w:rsid w:val="0065607D"/>
    <w:rsid w:val="006666D5"/>
    <w:rsid w:val="006711CC"/>
    <w:rsid w:val="00671765"/>
    <w:rsid w:val="00673513"/>
    <w:rsid w:val="00673ED9"/>
    <w:rsid w:val="0067653A"/>
    <w:rsid w:val="00677BB0"/>
    <w:rsid w:val="00677E27"/>
    <w:rsid w:val="006812AA"/>
    <w:rsid w:val="00681CA6"/>
    <w:rsid w:val="00682218"/>
    <w:rsid w:val="0068263B"/>
    <w:rsid w:val="00685061"/>
    <w:rsid w:val="0068611A"/>
    <w:rsid w:val="0069100A"/>
    <w:rsid w:val="0069258D"/>
    <w:rsid w:val="006949BF"/>
    <w:rsid w:val="00696451"/>
    <w:rsid w:val="006A2797"/>
    <w:rsid w:val="006A2F30"/>
    <w:rsid w:val="006A3205"/>
    <w:rsid w:val="006A3308"/>
    <w:rsid w:val="006A384F"/>
    <w:rsid w:val="006A47B8"/>
    <w:rsid w:val="006B05A2"/>
    <w:rsid w:val="006B3FA3"/>
    <w:rsid w:val="006B79E0"/>
    <w:rsid w:val="006C00D5"/>
    <w:rsid w:val="006C0481"/>
    <w:rsid w:val="006C6947"/>
    <w:rsid w:val="006D21CC"/>
    <w:rsid w:val="006D7E04"/>
    <w:rsid w:val="006E521B"/>
    <w:rsid w:val="00701E7B"/>
    <w:rsid w:val="007024D3"/>
    <w:rsid w:val="007035EB"/>
    <w:rsid w:val="007075BD"/>
    <w:rsid w:val="00710F88"/>
    <w:rsid w:val="00711507"/>
    <w:rsid w:val="00712E39"/>
    <w:rsid w:val="0071495F"/>
    <w:rsid w:val="00716D4F"/>
    <w:rsid w:val="007214D6"/>
    <w:rsid w:val="00723301"/>
    <w:rsid w:val="00723E0F"/>
    <w:rsid w:val="0073001C"/>
    <w:rsid w:val="00736997"/>
    <w:rsid w:val="00740E71"/>
    <w:rsid w:val="00742568"/>
    <w:rsid w:val="00750274"/>
    <w:rsid w:val="007517DF"/>
    <w:rsid w:val="0075221C"/>
    <w:rsid w:val="00761526"/>
    <w:rsid w:val="0076327D"/>
    <w:rsid w:val="00763487"/>
    <w:rsid w:val="0076359A"/>
    <w:rsid w:val="00765C80"/>
    <w:rsid w:val="00770354"/>
    <w:rsid w:val="00776F09"/>
    <w:rsid w:val="00785EF4"/>
    <w:rsid w:val="00787A3E"/>
    <w:rsid w:val="007A385A"/>
    <w:rsid w:val="007A4279"/>
    <w:rsid w:val="007A752D"/>
    <w:rsid w:val="007B09B1"/>
    <w:rsid w:val="007B5F40"/>
    <w:rsid w:val="007C1C2B"/>
    <w:rsid w:val="007C5C2D"/>
    <w:rsid w:val="007C6A0D"/>
    <w:rsid w:val="007D340C"/>
    <w:rsid w:val="007D5B39"/>
    <w:rsid w:val="007D7E82"/>
    <w:rsid w:val="007E0F83"/>
    <w:rsid w:val="007E2317"/>
    <w:rsid w:val="007E2DA1"/>
    <w:rsid w:val="007E2FAB"/>
    <w:rsid w:val="007E667A"/>
    <w:rsid w:val="007F1C5B"/>
    <w:rsid w:val="007F2B62"/>
    <w:rsid w:val="007F7128"/>
    <w:rsid w:val="00800B06"/>
    <w:rsid w:val="00804969"/>
    <w:rsid w:val="00807C2D"/>
    <w:rsid w:val="008118A9"/>
    <w:rsid w:val="00812F34"/>
    <w:rsid w:val="0082572B"/>
    <w:rsid w:val="00826EBC"/>
    <w:rsid w:val="00837A8F"/>
    <w:rsid w:val="00840447"/>
    <w:rsid w:val="00842690"/>
    <w:rsid w:val="00846562"/>
    <w:rsid w:val="00847C1E"/>
    <w:rsid w:val="00847DD8"/>
    <w:rsid w:val="00853A62"/>
    <w:rsid w:val="008541CB"/>
    <w:rsid w:val="00855745"/>
    <w:rsid w:val="00856096"/>
    <w:rsid w:val="00856741"/>
    <w:rsid w:val="008621C0"/>
    <w:rsid w:val="008679DD"/>
    <w:rsid w:val="00871FFB"/>
    <w:rsid w:val="00873727"/>
    <w:rsid w:val="00874FB5"/>
    <w:rsid w:val="00884576"/>
    <w:rsid w:val="00892CC9"/>
    <w:rsid w:val="00895106"/>
    <w:rsid w:val="008A1780"/>
    <w:rsid w:val="008A42C0"/>
    <w:rsid w:val="008A7899"/>
    <w:rsid w:val="008A7AA9"/>
    <w:rsid w:val="008B0686"/>
    <w:rsid w:val="008B2F1B"/>
    <w:rsid w:val="008B7C24"/>
    <w:rsid w:val="008C0638"/>
    <w:rsid w:val="008C18D1"/>
    <w:rsid w:val="008C2BF9"/>
    <w:rsid w:val="008C3521"/>
    <w:rsid w:val="008C74FB"/>
    <w:rsid w:val="008C77EC"/>
    <w:rsid w:val="008D137C"/>
    <w:rsid w:val="008D25E1"/>
    <w:rsid w:val="008D3B30"/>
    <w:rsid w:val="008D3BB6"/>
    <w:rsid w:val="008D3E70"/>
    <w:rsid w:val="008D51B7"/>
    <w:rsid w:val="008D5B11"/>
    <w:rsid w:val="008D74F4"/>
    <w:rsid w:val="008D7B41"/>
    <w:rsid w:val="008E1B0C"/>
    <w:rsid w:val="008E2541"/>
    <w:rsid w:val="008E337C"/>
    <w:rsid w:val="008E381B"/>
    <w:rsid w:val="008E5079"/>
    <w:rsid w:val="008E5B37"/>
    <w:rsid w:val="008F2D72"/>
    <w:rsid w:val="009004CD"/>
    <w:rsid w:val="00903FD9"/>
    <w:rsid w:val="00906101"/>
    <w:rsid w:val="00906EE4"/>
    <w:rsid w:val="00907D98"/>
    <w:rsid w:val="00912BD7"/>
    <w:rsid w:val="00916326"/>
    <w:rsid w:val="0092107B"/>
    <w:rsid w:val="00922159"/>
    <w:rsid w:val="009229A8"/>
    <w:rsid w:val="00923043"/>
    <w:rsid w:val="00923FA9"/>
    <w:rsid w:val="00924E87"/>
    <w:rsid w:val="009266ED"/>
    <w:rsid w:val="009320CE"/>
    <w:rsid w:val="00934086"/>
    <w:rsid w:val="00947C4C"/>
    <w:rsid w:val="009515F5"/>
    <w:rsid w:val="00951C4C"/>
    <w:rsid w:val="00951EB1"/>
    <w:rsid w:val="0096028B"/>
    <w:rsid w:val="00961ED3"/>
    <w:rsid w:val="009634B1"/>
    <w:rsid w:val="009654E2"/>
    <w:rsid w:val="009660A0"/>
    <w:rsid w:val="00970A41"/>
    <w:rsid w:val="0097261C"/>
    <w:rsid w:val="0098341B"/>
    <w:rsid w:val="0099449B"/>
    <w:rsid w:val="00994D82"/>
    <w:rsid w:val="0099544D"/>
    <w:rsid w:val="009A0318"/>
    <w:rsid w:val="009A0C31"/>
    <w:rsid w:val="009A5541"/>
    <w:rsid w:val="009A5C07"/>
    <w:rsid w:val="009B062A"/>
    <w:rsid w:val="009B584F"/>
    <w:rsid w:val="009B68AE"/>
    <w:rsid w:val="009C03AD"/>
    <w:rsid w:val="009C2498"/>
    <w:rsid w:val="009D0169"/>
    <w:rsid w:val="009D02C8"/>
    <w:rsid w:val="009D121F"/>
    <w:rsid w:val="009D37C2"/>
    <w:rsid w:val="009D505A"/>
    <w:rsid w:val="009D60F5"/>
    <w:rsid w:val="009E1843"/>
    <w:rsid w:val="009E4DF7"/>
    <w:rsid w:val="009E6E8C"/>
    <w:rsid w:val="009F3B78"/>
    <w:rsid w:val="00A0001D"/>
    <w:rsid w:val="00A001A7"/>
    <w:rsid w:val="00A005E2"/>
    <w:rsid w:val="00A011F3"/>
    <w:rsid w:val="00A01B77"/>
    <w:rsid w:val="00A07447"/>
    <w:rsid w:val="00A0786A"/>
    <w:rsid w:val="00A14B31"/>
    <w:rsid w:val="00A15B59"/>
    <w:rsid w:val="00A2658B"/>
    <w:rsid w:val="00A33280"/>
    <w:rsid w:val="00A33331"/>
    <w:rsid w:val="00A34752"/>
    <w:rsid w:val="00A37A64"/>
    <w:rsid w:val="00A40F05"/>
    <w:rsid w:val="00A41F4F"/>
    <w:rsid w:val="00A424B1"/>
    <w:rsid w:val="00A441BA"/>
    <w:rsid w:val="00A57F44"/>
    <w:rsid w:val="00A6022E"/>
    <w:rsid w:val="00A615BD"/>
    <w:rsid w:val="00A7120B"/>
    <w:rsid w:val="00A7148B"/>
    <w:rsid w:val="00A715A4"/>
    <w:rsid w:val="00A72E4F"/>
    <w:rsid w:val="00A8488F"/>
    <w:rsid w:val="00A85330"/>
    <w:rsid w:val="00A907FF"/>
    <w:rsid w:val="00AA3E5E"/>
    <w:rsid w:val="00AA438B"/>
    <w:rsid w:val="00AA7C1A"/>
    <w:rsid w:val="00AB0618"/>
    <w:rsid w:val="00AB3FE2"/>
    <w:rsid w:val="00AB536A"/>
    <w:rsid w:val="00AB742F"/>
    <w:rsid w:val="00AC0534"/>
    <w:rsid w:val="00AC1F3F"/>
    <w:rsid w:val="00AC3F5D"/>
    <w:rsid w:val="00AC6AE5"/>
    <w:rsid w:val="00AD24A9"/>
    <w:rsid w:val="00AE2A90"/>
    <w:rsid w:val="00AE51B0"/>
    <w:rsid w:val="00B03285"/>
    <w:rsid w:val="00B05BDF"/>
    <w:rsid w:val="00B114F2"/>
    <w:rsid w:val="00B11DC3"/>
    <w:rsid w:val="00B16A8D"/>
    <w:rsid w:val="00B20D82"/>
    <w:rsid w:val="00B20E0B"/>
    <w:rsid w:val="00B23D88"/>
    <w:rsid w:val="00B32269"/>
    <w:rsid w:val="00B43A85"/>
    <w:rsid w:val="00B43EE3"/>
    <w:rsid w:val="00B46398"/>
    <w:rsid w:val="00B50DEE"/>
    <w:rsid w:val="00B51E25"/>
    <w:rsid w:val="00B52F99"/>
    <w:rsid w:val="00B533F3"/>
    <w:rsid w:val="00B53BC8"/>
    <w:rsid w:val="00B576C8"/>
    <w:rsid w:val="00B62201"/>
    <w:rsid w:val="00B64973"/>
    <w:rsid w:val="00B64E3F"/>
    <w:rsid w:val="00B662E4"/>
    <w:rsid w:val="00B74397"/>
    <w:rsid w:val="00B75B6F"/>
    <w:rsid w:val="00B77660"/>
    <w:rsid w:val="00B820F6"/>
    <w:rsid w:val="00B83C61"/>
    <w:rsid w:val="00B84396"/>
    <w:rsid w:val="00B94CEC"/>
    <w:rsid w:val="00B97FAD"/>
    <w:rsid w:val="00BA6FEB"/>
    <w:rsid w:val="00BB217E"/>
    <w:rsid w:val="00BB4830"/>
    <w:rsid w:val="00BC296D"/>
    <w:rsid w:val="00BD3F44"/>
    <w:rsid w:val="00BD5C5D"/>
    <w:rsid w:val="00BE1087"/>
    <w:rsid w:val="00BE26DF"/>
    <w:rsid w:val="00BE2997"/>
    <w:rsid w:val="00BF2515"/>
    <w:rsid w:val="00BF4687"/>
    <w:rsid w:val="00BF524A"/>
    <w:rsid w:val="00BF7A97"/>
    <w:rsid w:val="00C01073"/>
    <w:rsid w:val="00C02892"/>
    <w:rsid w:val="00C12198"/>
    <w:rsid w:val="00C13500"/>
    <w:rsid w:val="00C21BCA"/>
    <w:rsid w:val="00C23280"/>
    <w:rsid w:val="00C25286"/>
    <w:rsid w:val="00C358F4"/>
    <w:rsid w:val="00C36E97"/>
    <w:rsid w:val="00C37BAA"/>
    <w:rsid w:val="00C47BD9"/>
    <w:rsid w:val="00C5033B"/>
    <w:rsid w:val="00C51B67"/>
    <w:rsid w:val="00C565EF"/>
    <w:rsid w:val="00C5742B"/>
    <w:rsid w:val="00C6186F"/>
    <w:rsid w:val="00C61CFD"/>
    <w:rsid w:val="00C63026"/>
    <w:rsid w:val="00C63DB3"/>
    <w:rsid w:val="00C705BC"/>
    <w:rsid w:val="00C72AAB"/>
    <w:rsid w:val="00C74295"/>
    <w:rsid w:val="00C75863"/>
    <w:rsid w:val="00C82777"/>
    <w:rsid w:val="00C84711"/>
    <w:rsid w:val="00C862C2"/>
    <w:rsid w:val="00C906A2"/>
    <w:rsid w:val="00C914AD"/>
    <w:rsid w:val="00C91B13"/>
    <w:rsid w:val="00C9210A"/>
    <w:rsid w:val="00C93008"/>
    <w:rsid w:val="00C935A1"/>
    <w:rsid w:val="00C937D8"/>
    <w:rsid w:val="00C95644"/>
    <w:rsid w:val="00CA318E"/>
    <w:rsid w:val="00CA7653"/>
    <w:rsid w:val="00CB147B"/>
    <w:rsid w:val="00CB1B66"/>
    <w:rsid w:val="00CB34F3"/>
    <w:rsid w:val="00CB3B02"/>
    <w:rsid w:val="00CB6BAC"/>
    <w:rsid w:val="00CC248A"/>
    <w:rsid w:val="00CC36D5"/>
    <w:rsid w:val="00CC3D0D"/>
    <w:rsid w:val="00CC5284"/>
    <w:rsid w:val="00CC6E9E"/>
    <w:rsid w:val="00CD0EE6"/>
    <w:rsid w:val="00CE0B93"/>
    <w:rsid w:val="00CF374A"/>
    <w:rsid w:val="00CF4367"/>
    <w:rsid w:val="00CF56E0"/>
    <w:rsid w:val="00CF7593"/>
    <w:rsid w:val="00D01EDF"/>
    <w:rsid w:val="00D036F4"/>
    <w:rsid w:val="00D05B79"/>
    <w:rsid w:val="00D067AF"/>
    <w:rsid w:val="00D07B19"/>
    <w:rsid w:val="00D109E4"/>
    <w:rsid w:val="00D12D66"/>
    <w:rsid w:val="00D12E4B"/>
    <w:rsid w:val="00D160C2"/>
    <w:rsid w:val="00D20186"/>
    <w:rsid w:val="00D20FB5"/>
    <w:rsid w:val="00D22C35"/>
    <w:rsid w:val="00D26917"/>
    <w:rsid w:val="00D2792C"/>
    <w:rsid w:val="00D3136A"/>
    <w:rsid w:val="00D345AE"/>
    <w:rsid w:val="00D34707"/>
    <w:rsid w:val="00D36780"/>
    <w:rsid w:val="00D36828"/>
    <w:rsid w:val="00D409E6"/>
    <w:rsid w:val="00D424B7"/>
    <w:rsid w:val="00D44861"/>
    <w:rsid w:val="00D458AC"/>
    <w:rsid w:val="00D47726"/>
    <w:rsid w:val="00D51AFA"/>
    <w:rsid w:val="00D521D8"/>
    <w:rsid w:val="00D52F66"/>
    <w:rsid w:val="00D6339F"/>
    <w:rsid w:val="00D633C8"/>
    <w:rsid w:val="00D6485E"/>
    <w:rsid w:val="00D659F2"/>
    <w:rsid w:val="00D66C85"/>
    <w:rsid w:val="00D7162B"/>
    <w:rsid w:val="00D729AE"/>
    <w:rsid w:val="00D76EEA"/>
    <w:rsid w:val="00D77214"/>
    <w:rsid w:val="00D8535B"/>
    <w:rsid w:val="00D93A2A"/>
    <w:rsid w:val="00D94A68"/>
    <w:rsid w:val="00DA05B1"/>
    <w:rsid w:val="00DA4AF6"/>
    <w:rsid w:val="00DA5047"/>
    <w:rsid w:val="00DA7092"/>
    <w:rsid w:val="00DA7879"/>
    <w:rsid w:val="00DB19A7"/>
    <w:rsid w:val="00DB67E6"/>
    <w:rsid w:val="00DB7A62"/>
    <w:rsid w:val="00DC1DFD"/>
    <w:rsid w:val="00DC1F15"/>
    <w:rsid w:val="00DC31C6"/>
    <w:rsid w:val="00DC39EC"/>
    <w:rsid w:val="00DC3FB8"/>
    <w:rsid w:val="00DC69F9"/>
    <w:rsid w:val="00DC6C58"/>
    <w:rsid w:val="00DD1628"/>
    <w:rsid w:val="00DD1991"/>
    <w:rsid w:val="00DD5E67"/>
    <w:rsid w:val="00DE335C"/>
    <w:rsid w:val="00DF23D7"/>
    <w:rsid w:val="00DF3FD0"/>
    <w:rsid w:val="00DF6A1D"/>
    <w:rsid w:val="00DF6E26"/>
    <w:rsid w:val="00DF740F"/>
    <w:rsid w:val="00E0078C"/>
    <w:rsid w:val="00E04922"/>
    <w:rsid w:val="00E04AAC"/>
    <w:rsid w:val="00E05980"/>
    <w:rsid w:val="00E117B5"/>
    <w:rsid w:val="00E124D3"/>
    <w:rsid w:val="00E13923"/>
    <w:rsid w:val="00E30209"/>
    <w:rsid w:val="00E30B81"/>
    <w:rsid w:val="00E31DC5"/>
    <w:rsid w:val="00E3543E"/>
    <w:rsid w:val="00E35C60"/>
    <w:rsid w:val="00E35CFE"/>
    <w:rsid w:val="00E36A68"/>
    <w:rsid w:val="00E42BE0"/>
    <w:rsid w:val="00E43171"/>
    <w:rsid w:val="00E57655"/>
    <w:rsid w:val="00E6669C"/>
    <w:rsid w:val="00E70511"/>
    <w:rsid w:val="00E711E6"/>
    <w:rsid w:val="00E76D07"/>
    <w:rsid w:val="00E77BE6"/>
    <w:rsid w:val="00E81FB0"/>
    <w:rsid w:val="00E82BE4"/>
    <w:rsid w:val="00E845E0"/>
    <w:rsid w:val="00E84C92"/>
    <w:rsid w:val="00E84DC6"/>
    <w:rsid w:val="00E852C4"/>
    <w:rsid w:val="00E94E58"/>
    <w:rsid w:val="00E963EA"/>
    <w:rsid w:val="00EA12B1"/>
    <w:rsid w:val="00EA2030"/>
    <w:rsid w:val="00EA2A15"/>
    <w:rsid w:val="00EA672F"/>
    <w:rsid w:val="00EB147A"/>
    <w:rsid w:val="00EB2F99"/>
    <w:rsid w:val="00EB2FF9"/>
    <w:rsid w:val="00EB53F6"/>
    <w:rsid w:val="00EB5D3A"/>
    <w:rsid w:val="00EC42D2"/>
    <w:rsid w:val="00EC4D02"/>
    <w:rsid w:val="00EC5E92"/>
    <w:rsid w:val="00EC7719"/>
    <w:rsid w:val="00EC79A8"/>
    <w:rsid w:val="00ED3ED9"/>
    <w:rsid w:val="00ED4A64"/>
    <w:rsid w:val="00ED7178"/>
    <w:rsid w:val="00ED7A12"/>
    <w:rsid w:val="00EE07D6"/>
    <w:rsid w:val="00EE1119"/>
    <w:rsid w:val="00EE1949"/>
    <w:rsid w:val="00EE50FA"/>
    <w:rsid w:val="00EF0DE0"/>
    <w:rsid w:val="00EF2303"/>
    <w:rsid w:val="00EF3703"/>
    <w:rsid w:val="00EF5EB6"/>
    <w:rsid w:val="00EF6614"/>
    <w:rsid w:val="00EF684D"/>
    <w:rsid w:val="00F002F0"/>
    <w:rsid w:val="00F10407"/>
    <w:rsid w:val="00F12A63"/>
    <w:rsid w:val="00F1348F"/>
    <w:rsid w:val="00F1385C"/>
    <w:rsid w:val="00F1472A"/>
    <w:rsid w:val="00F15E3C"/>
    <w:rsid w:val="00F17BA4"/>
    <w:rsid w:val="00F17C80"/>
    <w:rsid w:val="00F23D40"/>
    <w:rsid w:val="00F27169"/>
    <w:rsid w:val="00F302C9"/>
    <w:rsid w:val="00F323A5"/>
    <w:rsid w:val="00F331DC"/>
    <w:rsid w:val="00F36259"/>
    <w:rsid w:val="00F42FD2"/>
    <w:rsid w:val="00F4507C"/>
    <w:rsid w:val="00F46537"/>
    <w:rsid w:val="00F469E5"/>
    <w:rsid w:val="00F477ED"/>
    <w:rsid w:val="00F53C32"/>
    <w:rsid w:val="00F54922"/>
    <w:rsid w:val="00F60565"/>
    <w:rsid w:val="00F647FD"/>
    <w:rsid w:val="00F65CF5"/>
    <w:rsid w:val="00F66D5D"/>
    <w:rsid w:val="00F7226A"/>
    <w:rsid w:val="00F76292"/>
    <w:rsid w:val="00F76D93"/>
    <w:rsid w:val="00F77C83"/>
    <w:rsid w:val="00F80433"/>
    <w:rsid w:val="00F81706"/>
    <w:rsid w:val="00F837CC"/>
    <w:rsid w:val="00F84413"/>
    <w:rsid w:val="00F95524"/>
    <w:rsid w:val="00F95DDB"/>
    <w:rsid w:val="00F95E56"/>
    <w:rsid w:val="00F96AAB"/>
    <w:rsid w:val="00F971AB"/>
    <w:rsid w:val="00F976E8"/>
    <w:rsid w:val="00FA0E14"/>
    <w:rsid w:val="00FA1E80"/>
    <w:rsid w:val="00FA4570"/>
    <w:rsid w:val="00FB3C61"/>
    <w:rsid w:val="00FB67DF"/>
    <w:rsid w:val="00FB7A6A"/>
    <w:rsid w:val="00FC0752"/>
    <w:rsid w:val="00FC0E9B"/>
    <w:rsid w:val="00FC112F"/>
    <w:rsid w:val="00FC1513"/>
    <w:rsid w:val="00FC2FA2"/>
    <w:rsid w:val="00FC52A6"/>
    <w:rsid w:val="00FD0047"/>
    <w:rsid w:val="00FD0C60"/>
    <w:rsid w:val="00FD1F4F"/>
    <w:rsid w:val="00FD2E79"/>
    <w:rsid w:val="00FD676F"/>
    <w:rsid w:val="00FE696B"/>
    <w:rsid w:val="00FE781C"/>
    <w:rsid w:val="00FF26FC"/>
    <w:rsid w:val="00FF3939"/>
    <w:rsid w:val="00FF637D"/>
    <w:rsid w:val="6A8C10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8"/>
    <w:semiHidden/>
    <w:unhideWhenUsed/>
    <w:qFormat/>
    <w:uiPriority w:val="99"/>
    <w:rPr>
      <w:sz w:val="18"/>
      <w:szCs w:val="18"/>
    </w:rPr>
  </w:style>
  <w:style w:type="paragraph" w:styleId="3">
    <w:name w:val="footer"/>
    <w:basedOn w:val="1"/>
    <w:link w:val="10"/>
    <w:unhideWhenUsed/>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unhideWhenUsed/>
    <w:qFormat/>
    <w:uiPriority w:val="99"/>
    <w:rPr>
      <w:color w:val="0000FF" w:themeColor="hyperlink"/>
      <w:u w:val="single"/>
      <w14:textFill>
        <w14:solidFill>
          <w14:schemeClr w14:val="hlink"/>
        </w14:solidFill>
      </w14:textFill>
    </w:rPr>
  </w:style>
  <w:style w:type="character" w:customStyle="1" w:styleId="8">
    <w:name w:val="批注框文本 Char"/>
    <w:basedOn w:val="5"/>
    <w:link w:val="2"/>
    <w:semiHidden/>
    <w:qFormat/>
    <w:uiPriority w:val="99"/>
    <w:rPr>
      <w:sz w:val="18"/>
      <w:szCs w:val="18"/>
    </w:rPr>
  </w:style>
  <w:style w:type="character" w:customStyle="1" w:styleId="9">
    <w:name w:val="页眉 Char"/>
    <w:basedOn w:val="5"/>
    <w:link w:val="4"/>
    <w:qFormat/>
    <w:uiPriority w:val="99"/>
    <w:rPr>
      <w:sz w:val="18"/>
      <w:szCs w:val="18"/>
    </w:rPr>
  </w:style>
  <w:style w:type="character" w:customStyle="1" w:styleId="10">
    <w:name w:val="页脚 Char"/>
    <w:basedOn w:val="5"/>
    <w:link w:val="3"/>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西安银行人力资源部</Company>
  <Pages>3</Pages>
  <Words>394</Words>
  <Characters>2252</Characters>
  <Lines>18</Lines>
  <Paragraphs>5</Paragraphs>
  <TotalTime>192</TotalTime>
  <ScaleCrop>false</ScaleCrop>
  <LinksUpToDate>false</LinksUpToDate>
  <CharactersWithSpaces>2641</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2018-04-17T08:47:00Z</dcterms:created>
  <dc:creator>王志勇</dc:creator>
  <cp:lastModifiedBy>Administrator</cp:lastModifiedBy>
  <dcterms:modified xsi:type="dcterms:W3CDTF">2018-10-19T04:42:37Z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