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bookmarkStart w:id="0" w:name="_GoBack"/>
      <w:bookmarkEnd w:id="0"/>
      <w:r>
        <w:rPr>
          <w:rFonts w:hint="eastAsia" w:ascii="宋体" w:hAnsi="宋体"/>
          <w:b/>
          <w:sz w:val="32"/>
          <w:szCs w:val="32"/>
        </w:rPr>
        <w:t>西安外国语大学</w:t>
      </w:r>
    </w:p>
    <w:p>
      <w:pPr>
        <w:spacing w:line="360" w:lineRule="exact"/>
        <w:ind w:firstLine="480" w:firstLineChars="200"/>
        <w:jc w:val="left"/>
        <w:rPr>
          <w:rFonts w:ascii="仿宋" w:hAnsi="仿宋" w:eastAsia="仿宋"/>
          <w:sz w:val="24"/>
          <w:szCs w:val="24"/>
        </w:rPr>
      </w:pPr>
      <w:r>
        <w:rPr>
          <w:rFonts w:hint="eastAsia" w:ascii="仿宋" w:hAnsi="仿宋" w:eastAsia="仿宋"/>
          <w:sz w:val="24"/>
          <w:szCs w:val="24"/>
        </w:rPr>
        <w:t>西安外国语大学是新中国最早建立的4所外语院校之一，是西北地区唯一的一所主要外语语种齐全的普通高校。2011年被陕西省人民政府列为“十二五”期间重点建设的高水平大学。2013年1月，经国务院学位委员会批准成为博士学位授予单位，获得外国语言文学一级学科博士学位授予权。2014年经人力资源与社会保障部和全国博士后管委会批准设立博士后科研流动站。</w:t>
      </w:r>
    </w:p>
    <w:p>
      <w:pPr>
        <w:spacing w:line="360" w:lineRule="exact"/>
        <w:ind w:firstLine="482" w:firstLineChars="200"/>
        <w:jc w:val="left"/>
        <w:rPr>
          <w:rFonts w:ascii="仿宋" w:hAnsi="仿宋" w:eastAsia="仿宋"/>
          <w:b/>
          <w:sz w:val="24"/>
          <w:szCs w:val="24"/>
        </w:rPr>
      </w:pPr>
      <w:r>
        <w:rPr>
          <w:rFonts w:hint="eastAsia" w:ascii="仿宋" w:hAnsi="仿宋" w:eastAsia="仿宋"/>
          <w:b/>
          <w:sz w:val="24"/>
          <w:szCs w:val="24"/>
        </w:rPr>
        <w:t>一、招聘条件</w:t>
      </w:r>
    </w:p>
    <w:p>
      <w:pPr>
        <w:spacing w:line="360" w:lineRule="exact"/>
        <w:ind w:firstLine="480" w:firstLineChars="200"/>
        <w:jc w:val="left"/>
        <w:rPr>
          <w:rFonts w:ascii="仿宋" w:hAnsi="仿宋" w:eastAsia="仿宋"/>
          <w:sz w:val="24"/>
          <w:szCs w:val="24"/>
        </w:rPr>
      </w:pPr>
      <w:r>
        <w:rPr>
          <w:rFonts w:hint="eastAsia" w:ascii="仿宋" w:hAnsi="仿宋" w:eastAsia="仿宋"/>
          <w:sz w:val="24"/>
          <w:szCs w:val="24"/>
        </w:rPr>
        <w:t>请至西安外国语大学官方网站“师资队伍”—“人才招聘”栏目查看</w:t>
      </w:r>
      <w:r>
        <w:rPr>
          <w:rFonts w:hint="eastAsia" w:ascii="仿宋" w:hAnsi="仿宋" w:eastAsia="仿宋"/>
          <w:b/>
          <w:sz w:val="24"/>
          <w:szCs w:val="24"/>
        </w:rPr>
        <w:t>西安外国语大学2018年公开招聘公告</w:t>
      </w:r>
      <w:r>
        <w:rPr>
          <w:rFonts w:hint="eastAsia" w:ascii="仿宋" w:hAnsi="仿宋" w:eastAsia="仿宋"/>
          <w:sz w:val="24"/>
          <w:szCs w:val="24"/>
        </w:rPr>
        <w:t>（网址：</w:t>
      </w:r>
      <w:r>
        <w:rPr>
          <w:rFonts w:ascii="仿宋" w:hAnsi="仿宋" w:eastAsia="仿宋"/>
          <w:sz w:val="24"/>
          <w:szCs w:val="24"/>
          <w:u w:val="single"/>
        </w:rPr>
        <w:t>http://www.xisu.edu.cn/info/1033/11213.htm</w:t>
      </w:r>
      <w:r>
        <w:rPr>
          <w:rFonts w:hint="eastAsia" w:ascii="仿宋" w:hAnsi="仿宋" w:eastAsia="仿宋"/>
          <w:sz w:val="24"/>
          <w:szCs w:val="24"/>
        </w:rPr>
        <w:t>）</w:t>
      </w:r>
    </w:p>
    <w:p>
      <w:pPr>
        <w:spacing w:line="360" w:lineRule="exact"/>
        <w:ind w:firstLine="482" w:firstLineChars="200"/>
        <w:jc w:val="left"/>
        <w:rPr>
          <w:rFonts w:ascii="仿宋" w:hAnsi="仿宋" w:eastAsia="仿宋"/>
          <w:b/>
          <w:sz w:val="24"/>
          <w:szCs w:val="24"/>
        </w:rPr>
      </w:pPr>
      <w:r>
        <w:rPr>
          <w:rFonts w:hint="eastAsia" w:ascii="仿宋" w:hAnsi="仿宋" w:eastAsia="仿宋"/>
          <w:b/>
          <w:sz w:val="24"/>
          <w:szCs w:val="24"/>
        </w:rPr>
        <w:t>二、报名方式</w:t>
      </w:r>
    </w:p>
    <w:p>
      <w:pPr>
        <w:spacing w:line="360" w:lineRule="exact"/>
        <w:ind w:firstLine="480" w:firstLineChars="200"/>
        <w:jc w:val="left"/>
        <w:rPr>
          <w:rFonts w:ascii="仿宋" w:hAnsi="仿宋" w:eastAsia="仿宋"/>
          <w:sz w:val="24"/>
          <w:szCs w:val="24"/>
        </w:rPr>
      </w:pPr>
      <w:r>
        <w:rPr>
          <w:rFonts w:hint="eastAsia" w:ascii="仿宋" w:hAnsi="仿宋" w:eastAsia="仿宋"/>
          <w:sz w:val="24"/>
          <w:szCs w:val="24"/>
        </w:rPr>
        <w:t>应聘各类岗位的均实行网上报名，报名人员请登录西安外国语大学“网投招聘系统”（http://www.xisu.cn:8080/rsc/career/index.asp），按照系统提示及报名要求进行网上报名。</w:t>
      </w:r>
    </w:p>
    <w:p>
      <w:pPr>
        <w:spacing w:line="360" w:lineRule="exact"/>
        <w:ind w:firstLine="480" w:firstLineChars="200"/>
        <w:jc w:val="left"/>
        <w:rPr>
          <w:rFonts w:ascii="仿宋" w:hAnsi="仿宋" w:eastAsia="仿宋"/>
          <w:sz w:val="24"/>
          <w:szCs w:val="24"/>
        </w:rPr>
      </w:pPr>
      <w:r>
        <w:rPr>
          <w:rFonts w:hint="eastAsia" w:ascii="仿宋" w:hAnsi="仿宋" w:eastAsia="仿宋"/>
          <w:sz w:val="24"/>
          <w:szCs w:val="24"/>
        </w:rPr>
        <w:t>联系人：李杰、徐静，联系电话：029-85319340。</w:t>
      </w:r>
    </w:p>
    <w:p>
      <w:pPr>
        <w:spacing w:beforeLines="50" w:afterLines="50" w:line="400" w:lineRule="exact"/>
        <w:ind w:firstLine="482" w:firstLineChars="200"/>
        <w:jc w:val="center"/>
        <w:rPr>
          <w:rFonts w:ascii="仿宋" w:hAnsi="仿宋" w:eastAsia="仿宋"/>
          <w:sz w:val="24"/>
          <w:szCs w:val="24"/>
        </w:rPr>
      </w:pPr>
      <w:r>
        <w:rPr>
          <w:rFonts w:hint="eastAsia" w:ascii="仿宋" w:hAnsi="仿宋" w:eastAsia="仿宋"/>
          <w:b/>
          <w:sz w:val="24"/>
          <w:szCs w:val="24"/>
        </w:rPr>
        <w:t>西安外国语大学2018年公开招聘公告（事业编制）</w:t>
      </w:r>
    </w:p>
    <w:tbl>
      <w:tblPr>
        <w:tblStyle w:val="7"/>
        <w:tblW w:w="11040" w:type="dxa"/>
        <w:jc w:val="center"/>
        <w:tblInd w:w="94" w:type="dxa"/>
        <w:tblLayout w:type="fixed"/>
        <w:tblCellMar>
          <w:top w:w="0" w:type="dxa"/>
          <w:left w:w="108" w:type="dxa"/>
          <w:bottom w:w="0" w:type="dxa"/>
          <w:right w:w="108" w:type="dxa"/>
        </w:tblCellMar>
      </w:tblPr>
      <w:tblGrid>
        <w:gridCol w:w="1760"/>
        <w:gridCol w:w="2500"/>
        <w:gridCol w:w="2900"/>
        <w:gridCol w:w="780"/>
        <w:gridCol w:w="1660"/>
        <w:gridCol w:w="1440"/>
      </w:tblGrid>
      <w:tr>
        <w:tblPrEx>
          <w:tblLayout w:type="fixed"/>
          <w:tblCellMar>
            <w:top w:w="0" w:type="dxa"/>
            <w:left w:w="108" w:type="dxa"/>
            <w:bottom w:w="0" w:type="dxa"/>
            <w:right w:w="108" w:type="dxa"/>
          </w:tblCellMar>
        </w:tblPrEx>
        <w:trPr>
          <w:trHeight w:val="476" w:hRule="atLeast"/>
          <w:jc w:val="center"/>
        </w:trPr>
        <w:tc>
          <w:tcPr>
            <w:tcW w:w="1760" w:type="dxa"/>
            <w:tcBorders>
              <w:top w:val="single" w:color="auto" w:sz="8" w:space="0"/>
              <w:left w:val="single" w:color="auto" w:sz="8" w:space="0"/>
              <w:bottom w:val="nil"/>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教学岗位</w:t>
            </w:r>
            <w:r>
              <w:rPr>
                <w:rFonts w:hint="eastAsia" w:ascii="黑体" w:hAnsi="黑体" w:eastAsia="黑体" w:cs="宋体"/>
                <w:b/>
                <w:bCs/>
                <w:kern w:val="0"/>
                <w:sz w:val="18"/>
                <w:szCs w:val="18"/>
              </w:rPr>
              <w:br w:type="textWrapping"/>
            </w:r>
            <w:r>
              <w:rPr>
                <w:rFonts w:hint="eastAsia" w:ascii="黑体" w:hAnsi="黑体" w:eastAsia="黑体" w:cs="宋体"/>
                <w:b/>
                <w:bCs/>
                <w:kern w:val="0"/>
                <w:sz w:val="18"/>
                <w:szCs w:val="18"/>
              </w:rPr>
              <w:t>招聘单位</w:t>
            </w:r>
          </w:p>
        </w:tc>
        <w:tc>
          <w:tcPr>
            <w:tcW w:w="250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专 业</w:t>
            </w:r>
          </w:p>
        </w:tc>
        <w:tc>
          <w:tcPr>
            <w:tcW w:w="290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承担课程或方向</w:t>
            </w:r>
          </w:p>
        </w:tc>
        <w:tc>
          <w:tcPr>
            <w:tcW w:w="78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招聘</w:t>
            </w:r>
            <w:r>
              <w:rPr>
                <w:rFonts w:hint="eastAsia" w:ascii="黑体" w:hAnsi="黑体" w:eastAsia="黑体" w:cs="宋体"/>
                <w:b/>
                <w:bCs/>
                <w:kern w:val="0"/>
                <w:sz w:val="18"/>
                <w:szCs w:val="18"/>
              </w:rPr>
              <w:br w:type="textWrapping"/>
            </w:r>
            <w:r>
              <w:rPr>
                <w:rFonts w:hint="eastAsia" w:ascii="黑体" w:hAnsi="黑体" w:eastAsia="黑体" w:cs="宋体"/>
                <w:b/>
                <w:bCs/>
                <w:kern w:val="0"/>
                <w:sz w:val="18"/>
                <w:szCs w:val="18"/>
              </w:rPr>
              <w:t>人数</w:t>
            </w:r>
          </w:p>
        </w:tc>
        <w:tc>
          <w:tcPr>
            <w:tcW w:w="166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学位或职称</w:t>
            </w:r>
            <w:r>
              <w:rPr>
                <w:rFonts w:hint="eastAsia" w:ascii="黑体" w:hAnsi="黑体" w:eastAsia="黑体" w:cs="宋体"/>
                <w:b/>
                <w:bCs/>
                <w:kern w:val="0"/>
                <w:sz w:val="18"/>
                <w:szCs w:val="18"/>
              </w:rPr>
              <w:br w:type="textWrapping"/>
            </w:r>
            <w:r>
              <w:rPr>
                <w:rFonts w:hint="eastAsia" w:ascii="黑体" w:hAnsi="黑体" w:eastAsia="黑体" w:cs="宋体"/>
                <w:b/>
                <w:bCs/>
                <w:kern w:val="0"/>
                <w:sz w:val="18"/>
                <w:szCs w:val="18"/>
              </w:rPr>
              <w:t>要求</w:t>
            </w:r>
          </w:p>
        </w:tc>
        <w:tc>
          <w:tcPr>
            <w:tcW w:w="1440" w:type="dxa"/>
            <w:tcBorders>
              <w:top w:val="single" w:color="auto" w:sz="4" w:space="0"/>
              <w:left w:val="nil"/>
              <w:bottom w:val="single" w:color="auto" w:sz="8" w:space="0"/>
              <w:right w:val="single" w:color="auto" w:sz="8"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备注</w:t>
            </w:r>
          </w:p>
        </w:tc>
      </w:tr>
      <w:tr>
        <w:tblPrEx>
          <w:tblLayout w:type="fixed"/>
          <w:tblCellMar>
            <w:top w:w="0" w:type="dxa"/>
            <w:left w:w="108" w:type="dxa"/>
            <w:bottom w:w="0" w:type="dxa"/>
            <w:right w:w="108" w:type="dxa"/>
          </w:tblCellMar>
        </w:tblPrEx>
        <w:trPr>
          <w:trHeight w:val="495" w:hRule="atLeast"/>
          <w:jc w:val="center"/>
        </w:trPr>
        <w:tc>
          <w:tcPr>
            <w:tcW w:w="1760" w:type="dxa"/>
            <w:vMerge w:val="restart"/>
            <w:tcBorders>
              <w:top w:val="single" w:color="auto" w:sz="8" w:space="0"/>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英文学院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英语语言文学</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（跨文化交际）</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跨文化交际与文化理论</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nil"/>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503" w:hRule="atLeast"/>
          <w:jc w:val="center"/>
        </w:trPr>
        <w:tc>
          <w:tcPr>
            <w:tcW w:w="1760" w:type="dxa"/>
            <w:vMerge w:val="continue"/>
            <w:tcBorders>
              <w:top w:val="single" w:color="auto" w:sz="8" w:space="0"/>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英语语言文学</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（世界文学与比较文学）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比较文学与文艺理论</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53" w:hRule="atLeast"/>
          <w:jc w:val="center"/>
        </w:trPr>
        <w:tc>
          <w:tcPr>
            <w:tcW w:w="1760" w:type="dxa"/>
            <w:vMerge w:val="continue"/>
            <w:tcBorders>
              <w:top w:val="single" w:color="auto" w:sz="8" w:space="0"/>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外国语言学及应用语言学</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（心理语言学）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心理语言学与认知语言学</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33" w:hRule="atLeast"/>
          <w:jc w:val="center"/>
        </w:trPr>
        <w:tc>
          <w:tcPr>
            <w:tcW w:w="1760" w:type="dxa"/>
            <w:vMerge w:val="restart"/>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英语教育学院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高等教育学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研究生高等教育学课程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vMerge w:val="restart"/>
            <w:tcBorders>
              <w:top w:val="nil"/>
              <w:left w:val="single" w:color="auto" w:sz="4" w:space="0"/>
              <w:bottom w:val="single" w:color="000000"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需有海外学历</w:t>
            </w:r>
            <w:r>
              <w:rPr>
                <w:rFonts w:hint="eastAsia" w:ascii="宋体-PUA" w:hAnsi="Times New Roman" w:eastAsia="宋体-PUA" w:cs="Times New Roman"/>
                <w:kern w:val="0"/>
                <w:sz w:val="18"/>
                <w:szCs w:val="18"/>
              </w:rPr>
              <w:br w:type="textWrapping"/>
            </w:r>
            <w:r>
              <w:rPr>
                <w:rFonts w:hint="eastAsia" w:ascii="宋体-PUA" w:hAnsi="Times New Roman" w:eastAsia="宋体-PUA" w:cs="Times New Roman"/>
                <w:kern w:val="0"/>
                <w:sz w:val="18"/>
                <w:szCs w:val="18"/>
              </w:rPr>
              <w:t>背景</w:t>
            </w:r>
          </w:p>
        </w:tc>
      </w:tr>
      <w:tr>
        <w:tblPrEx>
          <w:tblLayout w:type="fixed"/>
          <w:tblCellMar>
            <w:top w:w="0" w:type="dxa"/>
            <w:left w:w="108" w:type="dxa"/>
            <w:bottom w:w="0" w:type="dxa"/>
            <w:right w:w="108" w:type="dxa"/>
          </w:tblCellMar>
        </w:tblPrEx>
        <w:trPr>
          <w:trHeight w:val="425"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教育学原理</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本科生、研究生教育学原理课程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vMerge w:val="continue"/>
            <w:tcBorders>
              <w:top w:val="nil"/>
              <w:left w:val="single" w:color="auto" w:sz="4" w:space="0"/>
              <w:bottom w:val="single" w:color="000000" w:sz="4" w:space="0"/>
              <w:right w:val="single" w:color="auto" w:sz="8" w:space="0"/>
            </w:tcBorders>
            <w:vAlign w:val="center"/>
          </w:tcPr>
          <w:p>
            <w:pPr>
              <w:widowControl/>
              <w:spacing w:line="200" w:lineRule="exact"/>
              <w:jc w:val="left"/>
              <w:rPr>
                <w:rFonts w:ascii="Times New Roman" w:hAnsi="Times New Roman" w:eastAsia="宋体" w:cs="Times New Roman"/>
                <w:kern w:val="0"/>
                <w:sz w:val="18"/>
                <w:szCs w:val="18"/>
              </w:rPr>
            </w:pPr>
          </w:p>
        </w:tc>
      </w:tr>
      <w:tr>
        <w:tblPrEx>
          <w:tblLayout w:type="fixed"/>
          <w:tblCellMar>
            <w:top w:w="0" w:type="dxa"/>
            <w:left w:w="108" w:type="dxa"/>
            <w:bottom w:w="0" w:type="dxa"/>
            <w:right w:w="108" w:type="dxa"/>
          </w:tblCellMar>
        </w:tblPrEx>
        <w:trPr>
          <w:trHeight w:val="417"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比较教育学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本科生、研究生比较教育学课程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博士且副教授以上</w:t>
            </w:r>
          </w:p>
        </w:tc>
        <w:tc>
          <w:tcPr>
            <w:tcW w:w="1440" w:type="dxa"/>
            <w:vMerge w:val="continue"/>
            <w:tcBorders>
              <w:top w:val="nil"/>
              <w:left w:val="single" w:color="auto" w:sz="4" w:space="0"/>
              <w:bottom w:val="single" w:color="000000" w:sz="4" w:space="0"/>
              <w:right w:val="single" w:color="auto" w:sz="8" w:space="0"/>
            </w:tcBorders>
            <w:vAlign w:val="center"/>
          </w:tcPr>
          <w:p>
            <w:pPr>
              <w:widowControl/>
              <w:spacing w:line="200" w:lineRule="exact"/>
              <w:jc w:val="left"/>
              <w:rPr>
                <w:rFonts w:ascii="Times New Roman" w:hAnsi="Times New Roman" w:eastAsia="宋体" w:cs="Times New Roman"/>
                <w:kern w:val="0"/>
                <w:sz w:val="18"/>
                <w:szCs w:val="18"/>
              </w:rPr>
            </w:pPr>
          </w:p>
        </w:tc>
      </w:tr>
      <w:tr>
        <w:tblPrEx>
          <w:tblLayout w:type="fixed"/>
          <w:tblCellMar>
            <w:top w:w="0" w:type="dxa"/>
            <w:left w:w="108" w:type="dxa"/>
            <w:bottom w:w="0" w:type="dxa"/>
            <w:right w:w="108" w:type="dxa"/>
          </w:tblCellMar>
        </w:tblPrEx>
        <w:trPr>
          <w:trHeight w:val="480"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教学论或外语教学论</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本科生、研究生教学论</w:t>
            </w:r>
            <w:r>
              <w:rPr>
                <w:rFonts w:hint="eastAsia" w:ascii="宋体-PUA" w:hAnsi="Times New Roman" w:eastAsia="宋体-PUA" w:cs="Times New Roman"/>
                <w:kern w:val="0"/>
                <w:sz w:val="18"/>
                <w:szCs w:val="18"/>
              </w:rPr>
              <w:br w:type="textWrapping"/>
            </w:r>
            <w:r>
              <w:rPr>
                <w:rFonts w:hint="eastAsia" w:ascii="宋体-PUA" w:hAnsi="Times New Roman" w:eastAsia="宋体-PUA" w:cs="Times New Roman"/>
                <w:kern w:val="0"/>
                <w:sz w:val="18"/>
                <w:szCs w:val="18"/>
              </w:rPr>
              <w:t>或外语教学论课程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vMerge w:val="continue"/>
            <w:tcBorders>
              <w:top w:val="nil"/>
              <w:left w:val="single" w:color="auto" w:sz="4" w:space="0"/>
              <w:bottom w:val="single" w:color="000000" w:sz="4" w:space="0"/>
              <w:right w:val="single" w:color="auto" w:sz="8" w:space="0"/>
            </w:tcBorders>
            <w:vAlign w:val="center"/>
          </w:tcPr>
          <w:p>
            <w:pPr>
              <w:widowControl/>
              <w:spacing w:line="200" w:lineRule="exact"/>
              <w:jc w:val="left"/>
              <w:rPr>
                <w:rFonts w:ascii="Times New Roman" w:hAnsi="Times New Roman" w:eastAsia="宋体" w:cs="Times New Roman"/>
                <w:kern w:val="0"/>
                <w:sz w:val="18"/>
                <w:szCs w:val="18"/>
              </w:rPr>
            </w:pPr>
          </w:p>
        </w:tc>
      </w:tr>
      <w:tr>
        <w:tblPrEx>
          <w:tblLayout w:type="fixed"/>
          <w:tblCellMar>
            <w:top w:w="0" w:type="dxa"/>
            <w:left w:w="108" w:type="dxa"/>
            <w:bottom w:w="0" w:type="dxa"/>
            <w:right w:w="108" w:type="dxa"/>
          </w:tblCellMar>
        </w:tblPrEx>
        <w:trPr>
          <w:trHeight w:val="480" w:hRule="atLeast"/>
          <w:jc w:val="center"/>
        </w:trPr>
        <w:tc>
          <w:tcPr>
            <w:tcW w:w="1760" w:type="dxa"/>
            <w:vMerge w:val="restart"/>
            <w:tcBorders>
              <w:top w:val="nil"/>
              <w:left w:val="single" w:color="auto" w:sz="8" w:space="0"/>
              <w:bottom w:val="single" w:color="000000"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日本文化经济学院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国际关系</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日语精读、中日关系等</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本科须为</w:t>
            </w:r>
            <w:r>
              <w:rPr>
                <w:rFonts w:hint="eastAsia" w:ascii="宋体-PUA" w:hAnsi="Times New Roman" w:eastAsia="宋体-PUA" w:cs="Times New Roman"/>
                <w:kern w:val="0"/>
                <w:sz w:val="18"/>
                <w:szCs w:val="18"/>
              </w:rPr>
              <w:br w:type="textWrapping"/>
            </w:r>
            <w:r>
              <w:rPr>
                <w:rFonts w:hint="eastAsia" w:ascii="宋体-PUA" w:hAnsi="Times New Roman" w:eastAsia="宋体-PUA" w:cs="Times New Roman"/>
                <w:kern w:val="0"/>
                <w:sz w:val="18"/>
                <w:szCs w:val="18"/>
              </w:rPr>
              <w:t>日语专业</w:t>
            </w:r>
          </w:p>
        </w:tc>
      </w:tr>
      <w:tr>
        <w:tblPrEx>
          <w:tblLayout w:type="fixed"/>
          <w:tblCellMar>
            <w:top w:w="0" w:type="dxa"/>
            <w:left w:w="108" w:type="dxa"/>
            <w:bottom w:w="0" w:type="dxa"/>
            <w:right w:w="108" w:type="dxa"/>
          </w:tblCellMar>
        </w:tblPrEx>
        <w:trPr>
          <w:trHeight w:val="525"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历史学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日语精读、日本历史等</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本科须为</w:t>
            </w:r>
            <w:r>
              <w:rPr>
                <w:rFonts w:hint="eastAsia" w:ascii="宋体-PUA" w:hAnsi="Times New Roman" w:eastAsia="宋体-PUA" w:cs="Times New Roman"/>
                <w:kern w:val="0"/>
                <w:sz w:val="18"/>
                <w:szCs w:val="18"/>
              </w:rPr>
              <w:br w:type="textWrapping"/>
            </w:r>
            <w:r>
              <w:rPr>
                <w:rFonts w:hint="eastAsia" w:ascii="宋体-PUA" w:hAnsi="Times New Roman" w:eastAsia="宋体-PUA" w:cs="Times New Roman"/>
                <w:kern w:val="0"/>
                <w:sz w:val="18"/>
                <w:szCs w:val="18"/>
              </w:rPr>
              <w:t>日语专业</w:t>
            </w:r>
          </w:p>
        </w:tc>
      </w:tr>
      <w:tr>
        <w:tblPrEx>
          <w:tblLayout w:type="fixed"/>
          <w:tblCellMar>
            <w:top w:w="0" w:type="dxa"/>
            <w:left w:w="108" w:type="dxa"/>
            <w:bottom w:w="0" w:type="dxa"/>
            <w:right w:w="108" w:type="dxa"/>
          </w:tblCellMar>
        </w:tblPrEx>
        <w:trPr>
          <w:trHeight w:val="525"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市场营销</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日语精读、市场营销等</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本科须为</w:t>
            </w:r>
            <w:r>
              <w:rPr>
                <w:rFonts w:hint="eastAsia" w:ascii="宋体-PUA" w:hAnsi="Times New Roman" w:eastAsia="宋体-PUA" w:cs="Times New Roman"/>
                <w:kern w:val="0"/>
                <w:sz w:val="18"/>
                <w:szCs w:val="18"/>
              </w:rPr>
              <w:br w:type="textWrapping"/>
            </w:r>
            <w:r>
              <w:rPr>
                <w:rFonts w:hint="eastAsia" w:ascii="宋体-PUA" w:hAnsi="Times New Roman" w:eastAsia="宋体-PUA" w:cs="Times New Roman"/>
                <w:kern w:val="0"/>
                <w:sz w:val="18"/>
                <w:szCs w:val="18"/>
              </w:rPr>
              <w:t>日语专业</w:t>
            </w:r>
          </w:p>
        </w:tc>
      </w:tr>
      <w:tr>
        <w:tblPrEx>
          <w:tblLayout w:type="fixed"/>
          <w:tblCellMar>
            <w:top w:w="0" w:type="dxa"/>
            <w:left w:w="108" w:type="dxa"/>
            <w:bottom w:w="0" w:type="dxa"/>
            <w:right w:w="108" w:type="dxa"/>
          </w:tblCellMar>
        </w:tblPrEx>
        <w:trPr>
          <w:trHeight w:val="555" w:hRule="atLeast"/>
          <w:jc w:val="center"/>
        </w:trPr>
        <w:tc>
          <w:tcPr>
            <w:tcW w:w="1760" w:type="dxa"/>
            <w:vMerge w:val="restart"/>
            <w:tcBorders>
              <w:top w:val="nil"/>
              <w:left w:val="single" w:color="auto" w:sz="8" w:space="0"/>
              <w:bottom w:val="single" w:color="000000"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color w:val="000000"/>
                <w:kern w:val="0"/>
                <w:sz w:val="18"/>
                <w:szCs w:val="18"/>
              </w:rPr>
            </w:pPr>
            <w:r>
              <w:rPr>
                <w:rFonts w:hint="eastAsia" w:ascii="宋体" w:hAnsi="宋体" w:eastAsia="宋体" w:cs="Times New Roman"/>
                <w:b/>
                <w:bCs/>
                <w:color w:val="000000"/>
                <w:kern w:val="0"/>
                <w:sz w:val="18"/>
                <w:szCs w:val="18"/>
              </w:rPr>
              <w:t>西方语言文化学院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法语</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（翻译理论与研究）</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本科高年级或研究生课程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555"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color w:val="000000"/>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法语</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（法语国家文学）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本科高年级或研究生课程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1142"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color w:val="000000"/>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西班牙语</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（拉美研究）</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本科高年级或研究生课程</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及相关科研任务</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本科须为西班牙语专业，硕士为国内高水平大学或西班牙官硕</w:t>
            </w:r>
          </w:p>
        </w:tc>
      </w:tr>
      <w:tr>
        <w:tblPrEx>
          <w:tblLayout w:type="fixed"/>
          <w:tblCellMar>
            <w:top w:w="0" w:type="dxa"/>
            <w:left w:w="108" w:type="dxa"/>
            <w:bottom w:w="0" w:type="dxa"/>
            <w:right w:w="108" w:type="dxa"/>
          </w:tblCellMar>
        </w:tblPrEx>
        <w:trPr>
          <w:trHeight w:val="555" w:hRule="atLeast"/>
          <w:jc w:val="center"/>
        </w:trPr>
        <w:tc>
          <w:tcPr>
            <w:tcW w:w="1760" w:type="dxa"/>
            <w:vMerge w:val="restart"/>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东方语言文化学院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阿拉伯语</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阿拉伯语相关课程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15"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泰语</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泰语相关课程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702" w:hRule="atLeast"/>
          <w:jc w:val="center"/>
        </w:trPr>
        <w:tc>
          <w:tcPr>
            <w:tcW w:w="1760" w:type="dxa"/>
            <w:tcBorders>
              <w:top w:val="nil"/>
              <w:left w:val="single" w:color="auto" w:sz="8" w:space="0"/>
              <w:bottom w:val="single" w:color="000000"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俄语学院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俄语</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俄语本科生、研究生课程教学、</w:t>
            </w:r>
            <w:r>
              <w:rPr>
                <w:rFonts w:hint="eastAsia" w:ascii="宋体-PUA" w:hAnsi="Times New Roman" w:eastAsia="宋体-PUA" w:cs="Times New Roman"/>
                <w:kern w:val="0"/>
                <w:sz w:val="18"/>
                <w:szCs w:val="18"/>
              </w:rPr>
              <w:br w:type="textWrapping"/>
            </w:r>
            <w:r>
              <w:rPr>
                <w:rFonts w:hint="eastAsia" w:ascii="宋体-PUA" w:hAnsi="Times New Roman" w:eastAsia="宋体-PUA" w:cs="Times New Roman"/>
                <w:kern w:val="0"/>
                <w:sz w:val="18"/>
                <w:szCs w:val="18"/>
              </w:rPr>
              <w:t>教学研究与改革、学术研究</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博士或具有博士</w:t>
            </w:r>
            <w:r>
              <w:rPr>
                <w:rFonts w:hint="eastAsia" w:ascii="宋体-PUA" w:hAnsi="Times New Roman" w:eastAsia="宋体-PUA" w:cs="Times New Roman"/>
                <w:kern w:val="0"/>
                <w:sz w:val="18"/>
                <w:szCs w:val="18"/>
              </w:rPr>
              <w:br w:type="textWrapping"/>
            </w:r>
            <w:r>
              <w:rPr>
                <w:rFonts w:hint="eastAsia" w:ascii="宋体-PUA" w:hAnsi="Times New Roman" w:eastAsia="宋体-PUA" w:cs="Times New Roman"/>
                <w:kern w:val="0"/>
                <w:sz w:val="18"/>
                <w:szCs w:val="18"/>
              </w:rPr>
              <w:t>学位副教授以上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本科须为高水平俄语专业院校</w:t>
            </w:r>
          </w:p>
        </w:tc>
      </w:tr>
      <w:tr>
        <w:tblPrEx>
          <w:tblLayout w:type="fixed"/>
          <w:tblCellMar>
            <w:top w:w="0" w:type="dxa"/>
            <w:left w:w="108" w:type="dxa"/>
            <w:bottom w:w="0" w:type="dxa"/>
            <w:right w:w="108" w:type="dxa"/>
          </w:tblCellMar>
        </w:tblPrEx>
        <w:trPr>
          <w:trHeight w:val="423" w:hRule="atLeast"/>
          <w:jc w:val="center"/>
        </w:trPr>
        <w:tc>
          <w:tcPr>
            <w:tcW w:w="1760" w:type="dxa"/>
            <w:vMerge w:val="restart"/>
            <w:tcBorders>
              <w:top w:val="nil"/>
              <w:left w:val="single" w:color="auto" w:sz="8" w:space="0"/>
              <w:bottom w:val="single" w:color="000000"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高级翻译学院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翻译学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知识产权翻译</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525"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外国语言学及应用语言学</w:t>
            </w:r>
            <w:r>
              <w:rPr>
                <w:rFonts w:hint="eastAsia" w:ascii="宋体" w:hAnsi="宋体" w:eastAsia="宋体" w:cs="Times New Roman"/>
                <w:kern w:val="0"/>
                <w:sz w:val="18"/>
                <w:szCs w:val="18"/>
              </w:rPr>
              <w:br w:type="textWrapping"/>
            </w:r>
            <w:r>
              <w:rPr>
                <w:rFonts w:ascii="Times New Roman" w:hAnsi="Times New Roman" w:eastAsia="宋体" w:cs="Times New Roman"/>
                <w:kern w:val="0"/>
                <w:sz w:val="18"/>
                <w:szCs w:val="18"/>
              </w:rPr>
              <w:t>(</w:t>
            </w:r>
            <w:r>
              <w:rPr>
                <w:rFonts w:hint="eastAsia" w:ascii="宋体" w:hAnsi="宋体" w:eastAsia="宋体" w:cs="Times New Roman"/>
                <w:kern w:val="0"/>
                <w:sz w:val="18"/>
                <w:szCs w:val="18"/>
              </w:rPr>
              <w:t>技术传播</w:t>
            </w:r>
            <w:r>
              <w:rPr>
                <w:rFonts w:ascii="Times New Roman" w:hAnsi="Times New Roman" w:eastAsia="宋体" w:cs="Times New Roman"/>
                <w:kern w:val="0"/>
                <w:sz w:val="18"/>
                <w:szCs w:val="18"/>
              </w:rPr>
              <w:t>)</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技术写作与编辑</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37" w:hRule="atLeast"/>
          <w:jc w:val="center"/>
        </w:trPr>
        <w:tc>
          <w:tcPr>
            <w:tcW w:w="1760" w:type="dxa"/>
            <w:tcBorders>
              <w:top w:val="nil"/>
              <w:left w:val="single" w:color="auto" w:sz="8" w:space="0"/>
              <w:bottom w:val="nil"/>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德语学院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德语</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德语本科和研究生课程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562" w:hRule="atLeast"/>
          <w:jc w:val="center"/>
        </w:trPr>
        <w:tc>
          <w:tcPr>
            <w:tcW w:w="176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color w:val="000000"/>
                <w:kern w:val="0"/>
                <w:sz w:val="18"/>
                <w:szCs w:val="18"/>
              </w:rPr>
            </w:pPr>
            <w:r>
              <w:rPr>
                <w:rFonts w:hint="eastAsia" w:ascii="宋体" w:hAnsi="宋体" w:eastAsia="宋体" w:cs="Times New Roman"/>
                <w:b/>
                <w:bCs/>
                <w:color w:val="000000"/>
                <w:kern w:val="0"/>
                <w:sz w:val="18"/>
                <w:szCs w:val="18"/>
              </w:rPr>
              <w:t>英语实验基地</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外国语言学及应用语言学</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（二语习得、英语教学理论）</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阅读与思辨、读写等</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73" w:hRule="atLeast"/>
          <w:jc w:val="center"/>
        </w:trPr>
        <w:tc>
          <w:tcPr>
            <w:tcW w:w="1760" w:type="dxa"/>
            <w:vMerge w:val="restart"/>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商学院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会计学、审计学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会计学或审计学相关课程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海外学历</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背景优先</w:t>
            </w:r>
          </w:p>
        </w:tc>
      </w:tr>
      <w:tr>
        <w:tblPrEx>
          <w:tblLayout w:type="fixed"/>
          <w:tblCellMar>
            <w:top w:w="0" w:type="dxa"/>
            <w:left w:w="108" w:type="dxa"/>
            <w:bottom w:w="0" w:type="dxa"/>
            <w:right w:w="108" w:type="dxa"/>
          </w:tblCellMar>
        </w:tblPrEx>
        <w:trPr>
          <w:trHeight w:val="551"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商务英语</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商务翻译、应用语言学</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海外学历</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背景优先</w:t>
            </w:r>
          </w:p>
        </w:tc>
      </w:tr>
      <w:tr>
        <w:tblPrEx>
          <w:tblLayout w:type="fixed"/>
          <w:tblCellMar>
            <w:top w:w="0" w:type="dxa"/>
            <w:left w:w="108" w:type="dxa"/>
            <w:bottom w:w="0" w:type="dxa"/>
            <w:right w:w="108" w:type="dxa"/>
          </w:tblCellMar>
        </w:tblPrEx>
        <w:trPr>
          <w:trHeight w:val="555"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vMerge w:val="continue"/>
            <w:tcBorders>
              <w:top w:val="nil"/>
              <w:left w:val="single" w:color="auto" w:sz="4"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kern w:val="0"/>
                <w:sz w:val="18"/>
                <w:szCs w:val="18"/>
              </w:rPr>
            </w:pP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商务语言基础、</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商务阅读与写作</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海外学历</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背景优先</w:t>
            </w:r>
          </w:p>
        </w:tc>
      </w:tr>
      <w:tr>
        <w:tblPrEx>
          <w:tblLayout w:type="fixed"/>
          <w:tblCellMar>
            <w:top w:w="0" w:type="dxa"/>
            <w:left w:w="108" w:type="dxa"/>
            <w:bottom w:w="0" w:type="dxa"/>
            <w:right w:w="108" w:type="dxa"/>
          </w:tblCellMar>
        </w:tblPrEx>
        <w:trPr>
          <w:trHeight w:val="555" w:hRule="atLeast"/>
          <w:jc w:val="center"/>
        </w:trPr>
        <w:tc>
          <w:tcPr>
            <w:tcW w:w="1760" w:type="dxa"/>
            <w:vMerge w:val="restart"/>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经济金融学院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国际经济与贸易</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跨境电商相关课程、国际贸易</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实务类课程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555"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金融学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证券投资、金融衍生工具、</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量化投资、公司金融、保险学</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42"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经济学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国民经济、区域经济、产业经济</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06"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商务英语</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翻译、写作</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13" w:hRule="atLeast"/>
          <w:jc w:val="center"/>
        </w:trPr>
        <w:tc>
          <w:tcPr>
            <w:tcW w:w="1760" w:type="dxa"/>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中国语言文学学院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中国语言文学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中国语言文学各二级学科课程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21" w:hRule="atLeast"/>
          <w:jc w:val="center"/>
        </w:trPr>
        <w:tc>
          <w:tcPr>
            <w:tcW w:w="1760" w:type="dxa"/>
            <w:vMerge w:val="restart"/>
            <w:tcBorders>
              <w:top w:val="nil"/>
              <w:left w:val="single" w:color="auto" w:sz="8" w:space="0"/>
              <w:bottom w:val="single" w:color="000000"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新闻与传播学院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新闻学或传播学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新闻传播实务课程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399"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计算机应用技术或统计学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数据挖掘与分析、编程编码</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09" w:hRule="atLeast"/>
          <w:jc w:val="center"/>
        </w:trPr>
        <w:tc>
          <w:tcPr>
            <w:tcW w:w="1760" w:type="dxa"/>
            <w:vMerge w:val="restart"/>
            <w:tcBorders>
              <w:top w:val="nil"/>
              <w:left w:val="single" w:color="auto" w:sz="8" w:space="0"/>
              <w:bottom w:val="single" w:color="000000"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旅游学院</w:t>
            </w:r>
            <w:r>
              <w:rPr>
                <w:rFonts w:ascii="Times New Roman" w:hAnsi="Times New Roman" w:eastAsia="宋体" w:cs="Times New Roman"/>
                <w:b/>
                <w:bCs/>
                <w:kern w:val="0"/>
                <w:sz w:val="18"/>
                <w:szCs w:val="18"/>
              </w:rPr>
              <w:br w:type="textWrapping"/>
            </w:r>
            <w:r>
              <w:rPr>
                <w:rFonts w:ascii="Times New Roman" w:hAnsi="Times New Roman" w:eastAsia="宋体" w:cs="Times New Roman"/>
                <w:b/>
                <w:bCs/>
                <w:kern w:val="0"/>
                <w:sz w:val="18"/>
                <w:szCs w:val="18"/>
              </w:rPr>
              <w:t>（人文地理研究所）</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自然地理学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自然地理学（科研为主教师</w:t>
            </w:r>
            <w:r>
              <w:rPr>
                <w:rFonts w:ascii="Times New Roman" w:hAnsi="Times New Roman" w:eastAsia="宋体" w:cs="Times New Roman"/>
                <w:kern w:val="0"/>
                <w:sz w:val="18"/>
                <w:szCs w:val="18"/>
              </w:rPr>
              <w:t xml:space="preserve"> </w:t>
            </w:r>
            <w:r>
              <w:rPr>
                <w:rFonts w:hint="eastAsia" w:ascii="宋体" w:hAnsi="宋体" w:eastAsia="宋体" w:cs="Times New Roman"/>
                <w:kern w:val="0"/>
                <w:sz w:val="18"/>
                <w:szCs w:val="18"/>
              </w:rPr>
              <w:t>）</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r>
      <w:tr>
        <w:tblPrEx>
          <w:tblLayout w:type="fixed"/>
          <w:tblCellMar>
            <w:top w:w="0" w:type="dxa"/>
            <w:left w:w="108" w:type="dxa"/>
            <w:bottom w:w="0" w:type="dxa"/>
            <w:right w:w="108" w:type="dxa"/>
          </w:tblCellMar>
        </w:tblPrEx>
        <w:trPr>
          <w:trHeight w:val="417"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地图学与地理信息系统</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地理信息系统（科研为主教师</w:t>
            </w:r>
            <w:r>
              <w:rPr>
                <w:rFonts w:ascii="Times New Roman" w:hAnsi="Times New Roman" w:eastAsia="宋体" w:cs="Times New Roman"/>
                <w:kern w:val="0"/>
                <w:sz w:val="18"/>
                <w:szCs w:val="18"/>
              </w:rPr>
              <w:t xml:space="preserve"> </w:t>
            </w:r>
            <w:r>
              <w:rPr>
                <w:rFonts w:hint="eastAsia" w:ascii="宋体" w:hAnsi="宋体" w:eastAsia="宋体" w:cs="Times New Roman"/>
                <w:kern w:val="0"/>
                <w:sz w:val="18"/>
                <w:szCs w:val="18"/>
              </w:rPr>
              <w:t>）</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r>
      <w:tr>
        <w:tblPrEx>
          <w:tblLayout w:type="fixed"/>
          <w:tblCellMar>
            <w:top w:w="0" w:type="dxa"/>
            <w:left w:w="108" w:type="dxa"/>
            <w:bottom w:w="0" w:type="dxa"/>
            <w:right w:w="108" w:type="dxa"/>
          </w:tblCellMar>
        </w:tblPrEx>
        <w:trPr>
          <w:trHeight w:val="443"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城乡规划</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城市规划原理（科研为主教师</w:t>
            </w:r>
            <w:r>
              <w:rPr>
                <w:rFonts w:ascii="Times New Roman" w:hAnsi="Times New Roman" w:eastAsia="宋体" w:cs="Times New Roman"/>
                <w:kern w:val="0"/>
                <w:sz w:val="18"/>
                <w:szCs w:val="18"/>
              </w:rPr>
              <w:t xml:space="preserve"> </w:t>
            </w:r>
            <w:r>
              <w:rPr>
                <w:rFonts w:hint="eastAsia" w:ascii="宋体" w:hAnsi="宋体" w:eastAsia="宋体" w:cs="Times New Roman"/>
                <w:kern w:val="0"/>
                <w:sz w:val="18"/>
                <w:szCs w:val="18"/>
              </w:rPr>
              <w:t>）</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r>
      <w:tr>
        <w:tblPrEx>
          <w:tblLayout w:type="fixed"/>
          <w:tblCellMar>
            <w:top w:w="0" w:type="dxa"/>
            <w:left w:w="108" w:type="dxa"/>
            <w:bottom w:w="0" w:type="dxa"/>
            <w:right w:w="108" w:type="dxa"/>
          </w:tblCellMar>
        </w:tblPrEx>
        <w:trPr>
          <w:trHeight w:val="545"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旅游管理</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美国饭店协会认证课程</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（科研为主教师</w:t>
            </w:r>
            <w:r>
              <w:rPr>
                <w:rFonts w:ascii="Times New Roman" w:hAnsi="Times New Roman" w:eastAsia="宋体" w:cs="Times New Roman"/>
                <w:kern w:val="0"/>
                <w:sz w:val="18"/>
                <w:szCs w:val="18"/>
              </w:rPr>
              <w:t xml:space="preserve"> </w:t>
            </w:r>
            <w:r>
              <w:rPr>
                <w:rFonts w:hint="eastAsia" w:ascii="宋体" w:hAnsi="宋体" w:eastAsia="宋体" w:cs="Times New Roman"/>
                <w:kern w:val="0"/>
                <w:sz w:val="18"/>
                <w:szCs w:val="18"/>
              </w:rPr>
              <w:t>）</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须具有海外</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学历背景</w:t>
            </w:r>
          </w:p>
        </w:tc>
      </w:tr>
      <w:tr>
        <w:tblPrEx>
          <w:tblLayout w:type="fixed"/>
          <w:tblCellMar>
            <w:top w:w="0" w:type="dxa"/>
            <w:left w:w="108" w:type="dxa"/>
            <w:bottom w:w="0" w:type="dxa"/>
            <w:right w:w="108" w:type="dxa"/>
          </w:tblCellMar>
        </w:tblPrEx>
        <w:trPr>
          <w:trHeight w:val="553"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英语</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英语高级写作、口译</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（教学为主教师</w:t>
            </w:r>
            <w:r>
              <w:rPr>
                <w:rFonts w:ascii="Times New Roman" w:hAnsi="Times New Roman" w:eastAsia="宋体" w:cs="Times New Roman"/>
                <w:kern w:val="0"/>
                <w:sz w:val="18"/>
                <w:szCs w:val="18"/>
              </w:rPr>
              <w:t xml:space="preserve"> </w:t>
            </w:r>
            <w:r>
              <w:rPr>
                <w:rFonts w:hint="eastAsia" w:ascii="宋体" w:hAnsi="宋体" w:eastAsia="宋体" w:cs="Times New Roman"/>
                <w:kern w:val="0"/>
                <w:sz w:val="18"/>
                <w:szCs w:val="18"/>
              </w:rPr>
              <w:t>）</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博士且副教授以上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r>
      <w:tr>
        <w:tblPrEx>
          <w:tblLayout w:type="fixed"/>
          <w:tblCellMar>
            <w:top w:w="0" w:type="dxa"/>
            <w:left w:w="108" w:type="dxa"/>
            <w:bottom w:w="0" w:type="dxa"/>
            <w:right w:w="108" w:type="dxa"/>
          </w:tblCellMar>
        </w:tblPrEx>
        <w:trPr>
          <w:trHeight w:val="378" w:hRule="atLeast"/>
          <w:jc w:val="center"/>
        </w:trPr>
        <w:tc>
          <w:tcPr>
            <w:tcW w:w="1760" w:type="dxa"/>
            <w:vMerge w:val="restart"/>
            <w:tcBorders>
              <w:top w:val="nil"/>
              <w:left w:val="single" w:color="auto" w:sz="8" w:space="0"/>
              <w:bottom w:val="single" w:color="000000"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艺术学院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戏剧与影视学</w:t>
            </w:r>
            <w:r>
              <w:rPr>
                <w:rFonts w:ascii="Times New Roman" w:hAnsi="Times New Roman" w:eastAsia="宋体" w:cs="Times New Roman"/>
                <w:kern w:val="0"/>
                <w:sz w:val="18"/>
                <w:szCs w:val="18"/>
              </w:rPr>
              <w:t>·</w:t>
            </w:r>
            <w:r>
              <w:rPr>
                <w:rFonts w:hint="eastAsia" w:ascii="宋体" w:hAnsi="宋体" w:eastAsia="宋体" w:cs="Times New Roman"/>
                <w:kern w:val="0"/>
                <w:sz w:val="18"/>
                <w:szCs w:val="18"/>
              </w:rPr>
              <w:t>动画</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定格动画、三维动画课程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16" w:hRule="atLeast"/>
          <w:jc w:val="center"/>
        </w:trPr>
        <w:tc>
          <w:tcPr>
            <w:tcW w:w="1760" w:type="dxa"/>
            <w:vMerge w:val="continue"/>
            <w:tcBorders>
              <w:top w:val="nil"/>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戏剧与影视学</w:t>
            </w:r>
            <w:r>
              <w:rPr>
                <w:rFonts w:ascii="Times New Roman" w:hAnsi="Times New Roman" w:eastAsia="宋体" w:cs="Times New Roman"/>
                <w:kern w:val="0"/>
                <w:sz w:val="18"/>
                <w:szCs w:val="18"/>
              </w:rPr>
              <w:t>·</w:t>
            </w:r>
            <w:r>
              <w:rPr>
                <w:rFonts w:hint="eastAsia" w:ascii="宋体" w:hAnsi="宋体" w:eastAsia="宋体" w:cs="Times New Roman"/>
                <w:kern w:val="0"/>
                <w:sz w:val="18"/>
                <w:szCs w:val="18"/>
              </w:rPr>
              <w:t>表演</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镜头前表演课程</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630" w:hRule="atLeast"/>
          <w:jc w:val="center"/>
        </w:trPr>
        <w:tc>
          <w:tcPr>
            <w:tcW w:w="1760" w:type="dxa"/>
            <w:vMerge w:val="restart"/>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马克思主义学院</w:t>
            </w:r>
          </w:p>
        </w:tc>
        <w:tc>
          <w:tcPr>
            <w:tcW w:w="2500" w:type="dxa"/>
            <w:vMerge w:val="restart"/>
            <w:tcBorders>
              <w:top w:val="nil"/>
              <w:left w:val="single" w:color="auto" w:sz="4" w:space="0"/>
              <w:bottom w:val="nil"/>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马克思主义理论</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马克思主义基本原理概论、</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当代世界经济与政治</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630" w:hRule="atLeast"/>
          <w:jc w:val="center"/>
        </w:trPr>
        <w:tc>
          <w:tcPr>
            <w:tcW w:w="1760" w:type="dxa"/>
            <w:vMerge w:val="continue"/>
            <w:tcBorders>
              <w:top w:val="nil"/>
              <w:left w:val="single" w:color="auto" w:sz="8" w:space="0"/>
              <w:bottom w:val="single" w:color="auto"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vMerge w:val="continue"/>
            <w:tcBorders>
              <w:top w:val="nil"/>
              <w:left w:val="single" w:color="auto" w:sz="4" w:space="0"/>
              <w:bottom w:val="nil"/>
              <w:right w:val="single" w:color="auto" w:sz="4" w:space="0"/>
            </w:tcBorders>
            <w:vAlign w:val="center"/>
          </w:tcPr>
          <w:p>
            <w:pPr>
              <w:widowControl/>
              <w:spacing w:line="200" w:lineRule="exact"/>
              <w:jc w:val="left"/>
              <w:rPr>
                <w:rFonts w:ascii="Times New Roman" w:hAnsi="Times New Roman" w:eastAsia="宋体" w:cs="Times New Roman"/>
                <w:kern w:val="0"/>
                <w:sz w:val="18"/>
                <w:szCs w:val="18"/>
              </w:rPr>
            </w:pP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毛泽东思想与中国特色社会主义理论体系概论、中国近现代史纲要</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00" w:hRule="atLeast"/>
          <w:jc w:val="center"/>
        </w:trPr>
        <w:tc>
          <w:tcPr>
            <w:tcW w:w="1760" w:type="dxa"/>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基础教学部</w:t>
            </w:r>
          </w:p>
        </w:tc>
        <w:tc>
          <w:tcPr>
            <w:tcW w:w="250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计算机科学与技术</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计算机基础</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750" w:hRule="atLeast"/>
          <w:jc w:val="center"/>
        </w:trPr>
        <w:tc>
          <w:tcPr>
            <w:tcW w:w="1760" w:type="dxa"/>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汉学院</w:t>
            </w:r>
            <w:r>
              <w:rPr>
                <w:rFonts w:ascii="Times New Roman" w:hAnsi="Times New Roman" w:eastAsia="宋体" w:cs="Times New Roman"/>
                <w:b/>
                <w:bCs/>
                <w:kern w:val="0"/>
                <w:sz w:val="18"/>
                <w:szCs w:val="18"/>
              </w:rPr>
              <w:t>·</w:t>
            </w:r>
            <w:r>
              <w:rPr>
                <w:rFonts w:hint="eastAsia" w:ascii="宋体" w:hAnsi="宋体" w:eastAsia="宋体" w:cs="Times New Roman"/>
                <w:b/>
                <w:bCs/>
                <w:kern w:val="0"/>
                <w:sz w:val="18"/>
                <w:szCs w:val="18"/>
              </w:rPr>
              <w:t>中亚学院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汉语国际教育</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留学生本科、硕士专业课</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应届毕业生，有汉语国际教育经验优先</w:t>
            </w:r>
          </w:p>
        </w:tc>
      </w:tr>
      <w:tr>
        <w:tblPrEx>
          <w:tblLayout w:type="fixed"/>
          <w:tblCellMar>
            <w:top w:w="0" w:type="dxa"/>
            <w:left w:w="108" w:type="dxa"/>
            <w:bottom w:w="0" w:type="dxa"/>
            <w:right w:w="108" w:type="dxa"/>
          </w:tblCellMar>
        </w:tblPrEx>
        <w:trPr>
          <w:trHeight w:val="409" w:hRule="atLeast"/>
          <w:jc w:val="center"/>
        </w:trPr>
        <w:tc>
          <w:tcPr>
            <w:tcW w:w="1760" w:type="dxa"/>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学报编辑部</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外国语言文学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学术编辑</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315" w:hRule="atLeast"/>
          <w:jc w:val="center"/>
        </w:trPr>
        <w:tc>
          <w:tcPr>
            <w:tcW w:w="1760" w:type="dxa"/>
            <w:tcBorders>
              <w:top w:val="single" w:color="auto" w:sz="8" w:space="0"/>
              <w:left w:val="single" w:color="auto" w:sz="8" w:space="0"/>
              <w:bottom w:val="single" w:color="auto" w:sz="8" w:space="0"/>
              <w:right w:val="nil"/>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c>
          <w:tcPr>
            <w:tcW w:w="2500" w:type="dxa"/>
            <w:tcBorders>
              <w:top w:val="single" w:color="auto" w:sz="8" w:space="0"/>
              <w:left w:val="nil"/>
              <w:bottom w:val="single" w:color="auto" w:sz="8" w:space="0"/>
              <w:right w:val="nil"/>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c>
          <w:tcPr>
            <w:tcW w:w="2900" w:type="dxa"/>
            <w:tcBorders>
              <w:top w:val="single" w:color="auto" w:sz="8" w:space="0"/>
              <w:left w:val="nil"/>
              <w:bottom w:val="single" w:color="auto" w:sz="8" w:space="0"/>
              <w:right w:val="nil"/>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c>
          <w:tcPr>
            <w:tcW w:w="780" w:type="dxa"/>
            <w:tcBorders>
              <w:top w:val="single" w:color="auto" w:sz="8" w:space="0"/>
              <w:left w:val="nil"/>
              <w:bottom w:val="single" w:color="auto" w:sz="8" w:space="0"/>
              <w:right w:val="nil"/>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c>
          <w:tcPr>
            <w:tcW w:w="1660" w:type="dxa"/>
            <w:tcBorders>
              <w:top w:val="single" w:color="auto" w:sz="8" w:space="0"/>
              <w:left w:val="nil"/>
              <w:bottom w:val="single" w:color="auto" w:sz="8" w:space="0"/>
              <w:right w:val="nil"/>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c>
          <w:tcPr>
            <w:tcW w:w="1440" w:type="dxa"/>
            <w:tcBorders>
              <w:top w:val="single" w:color="auto" w:sz="8" w:space="0"/>
              <w:left w:val="nil"/>
              <w:bottom w:val="single" w:color="auto" w:sz="8"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r>
      <w:tr>
        <w:tblPrEx>
          <w:tblLayout w:type="fixed"/>
          <w:tblCellMar>
            <w:top w:w="0" w:type="dxa"/>
            <w:left w:w="108" w:type="dxa"/>
            <w:bottom w:w="0" w:type="dxa"/>
            <w:right w:w="108" w:type="dxa"/>
          </w:tblCellMar>
        </w:tblPrEx>
        <w:trPr>
          <w:trHeight w:val="645" w:hRule="atLeast"/>
          <w:jc w:val="center"/>
        </w:trPr>
        <w:tc>
          <w:tcPr>
            <w:tcW w:w="1760"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专职科研岗位</w:t>
            </w:r>
            <w:r>
              <w:rPr>
                <w:rFonts w:hint="eastAsia" w:ascii="黑体" w:hAnsi="黑体" w:eastAsia="黑体" w:cs="宋体"/>
                <w:b/>
                <w:bCs/>
                <w:kern w:val="0"/>
                <w:sz w:val="18"/>
                <w:szCs w:val="18"/>
              </w:rPr>
              <w:br w:type="textWrapping"/>
            </w:r>
            <w:r>
              <w:rPr>
                <w:rFonts w:hint="eastAsia" w:ascii="黑体" w:hAnsi="黑体" w:eastAsia="黑体" w:cs="宋体"/>
                <w:b/>
                <w:bCs/>
                <w:kern w:val="0"/>
                <w:sz w:val="18"/>
                <w:szCs w:val="18"/>
              </w:rPr>
              <w:t>招聘单位</w:t>
            </w:r>
          </w:p>
        </w:tc>
        <w:tc>
          <w:tcPr>
            <w:tcW w:w="250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专 业</w:t>
            </w:r>
          </w:p>
        </w:tc>
        <w:tc>
          <w:tcPr>
            <w:tcW w:w="290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承担工作任务</w:t>
            </w:r>
          </w:p>
        </w:tc>
        <w:tc>
          <w:tcPr>
            <w:tcW w:w="78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招聘</w:t>
            </w:r>
            <w:r>
              <w:rPr>
                <w:rFonts w:hint="eastAsia" w:ascii="黑体" w:hAnsi="黑体" w:eastAsia="黑体" w:cs="宋体"/>
                <w:b/>
                <w:bCs/>
                <w:kern w:val="0"/>
                <w:sz w:val="18"/>
                <w:szCs w:val="18"/>
              </w:rPr>
              <w:br w:type="textWrapping"/>
            </w:r>
            <w:r>
              <w:rPr>
                <w:rFonts w:hint="eastAsia" w:ascii="黑体" w:hAnsi="黑体" w:eastAsia="黑体" w:cs="宋体"/>
                <w:b/>
                <w:bCs/>
                <w:kern w:val="0"/>
                <w:sz w:val="18"/>
                <w:szCs w:val="18"/>
              </w:rPr>
              <w:t>人数</w:t>
            </w:r>
          </w:p>
        </w:tc>
        <w:tc>
          <w:tcPr>
            <w:tcW w:w="166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学位或职称</w:t>
            </w:r>
            <w:r>
              <w:rPr>
                <w:rFonts w:hint="eastAsia" w:ascii="黑体" w:hAnsi="黑体" w:eastAsia="黑体" w:cs="宋体"/>
                <w:b/>
                <w:bCs/>
                <w:kern w:val="0"/>
                <w:sz w:val="18"/>
                <w:szCs w:val="18"/>
              </w:rPr>
              <w:br w:type="textWrapping"/>
            </w:r>
            <w:r>
              <w:rPr>
                <w:rFonts w:hint="eastAsia" w:ascii="黑体" w:hAnsi="黑体" w:eastAsia="黑体" w:cs="宋体"/>
                <w:b/>
                <w:bCs/>
                <w:kern w:val="0"/>
                <w:sz w:val="18"/>
                <w:szCs w:val="18"/>
              </w:rPr>
              <w:t>要求</w:t>
            </w:r>
          </w:p>
        </w:tc>
        <w:tc>
          <w:tcPr>
            <w:tcW w:w="1440" w:type="dxa"/>
            <w:tcBorders>
              <w:top w:val="single" w:color="auto" w:sz="4" w:space="0"/>
              <w:left w:val="nil"/>
              <w:bottom w:val="single" w:color="auto" w:sz="8" w:space="0"/>
              <w:right w:val="single" w:color="auto" w:sz="8"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备注</w:t>
            </w:r>
          </w:p>
        </w:tc>
      </w:tr>
      <w:tr>
        <w:tblPrEx>
          <w:tblLayout w:type="fixed"/>
          <w:tblCellMar>
            <w:top w:w="0" w:type="dxa"/>
            <w:left w:w="108" w:type="dxa"/>
            <w:bottom w:w="0" w:type="dxa"/>
            <w:right w:w="108" w:type="dxa"/>
          </w:tblCellMar>
        </w:tblPrEx>
        <w:trPr>
          <w:trHeight w:val="688" w:hRule="atLeast"/>
          <w:jc w:val="center"/>
        </w:trPr>
        <w:tc>
          <w:tcPr>
            <w:tcW w:w="1760" w:type="dxa"/>
            <w:tcBorders>
              <w:top w:val="nil"/>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日本文化经济学院</w:t>
            </w:r>
          </w:p>
        </w:tc>
        <w:tc>
          <w:tcPr>
            <w:tcW w:w="250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日语语言文学</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（国际关系、文化交流、国别区域研究）</w:t>
            </w:r>
          </w:p>
        </w:tc>
        <w:tc>
          <w:tcPr>
            <w:tcW w:w="290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东北亚研究中心专职科研人员</w:t>
            </w:r>
          </w:p>
        </w:tc>
        <w:tc>
          <w:tcPr>
            <w:tcW w:w="78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博士</w:t>
            </w:r>
          </w:p>
        </w:tc>
        <w:tc>
          <w:tcPr>
            <w:tcW w:w="1440" w:type="dxa"/>
            <w:tcBorders>
              <w:top w:val="single" w:color="auto" w:sz="4" w:space="0"/>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435" w:hRule="atLeast"/>
          <w:jc w:val="center"/>
        </w:trPr>
        <w:tc>
          <w:tcPr>
            <w:tcW w:w="1760" w:type="dxa"/>
            <w:tcBorders>
              <w:top w:val="nil"/>
              <w:left w:val="single" w:color="auto" w:sz="8" w:space="0"/>
              <w:bottom w:val="nil"/>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国际关系学院</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国际关系</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宋体" w:hAnsi="宋体" w:eastAsia="宋体" w:cs="宋体"/>
                <w:kern w:val="0"/>
                <w:sz w:val="18"/>
                <w:szCs w:val="18"/>
              </w:rPr>
            </w:pPr>
            <w:r>
              <w:rPr>
                <w:rFonts w:hint="eastAsia" w:ascii="宋体" w:hAnsi="宋体" w:eastAsia="宋体" w:cs="宋体"/>
                <w:kern w:val="0"/>
                <w:sz w:val="18"/>
                <w:szCs w:val="18"/>
              </w:rPr>
              <w:t>专职从事波兰及中东欧问题研究</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r>
      <w:tr>
        <w:tblPrEx>
          <w:tblLayout w:type="fixed"/>
          <w:tblCellMar>
            <w:top w:w="0" w:type="dxa"/>
            <w:left w:w="108" w:type="dxa"/>
            <w:bottom w:w="0" w:type="dxa"/>
            <w:right w:w="108" w:type="dxa"/>
          </w:tblCellMar>
        </w:tblPrEx>
        <w:trPr>
          <w:trHeight w:val="716" w:hRule="atLeast"/>
          <w:jc w:val="center"/>
        </w:trPr>
        <w:tc>
          <w:tcPr>
            <w:tcW w:w="1760" w:type="dxa"/>
            <w:vMerge w:val="restart"/>
            <w:tcBorders>
              <w:top w:val="single" w:color="auto" w:sz="4" w:space="0"/>
              <w:left w:val="single" w:color="auto" w:sz="8" w:space="0"/>
              <w:bottom w:val="single" w:color="000000"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丝绸之路语言服务协同创新中心</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语言经济学、语言学</w:t>
            </w:r>
            <w:r>
              <w:rPr>
                <w:rFonts w:hint="eastAsia" w:ascii="宋体-PUA" w:hAnsi="Times New Roman" w:eastAsia="宋体-PUA" w:cs="Times New Roman"/>
                <w:kern w:val="0"/>
                <w:sz w:val="18"/>
                <w:szCs w:val="18"/>
              </w:rPr>
              <w:br w:type="textWrapping"/>
            </w:r>
            <w:r>
              <w:rPr>
                <w:rFonts w:hint="eastAsia" w:ascii="宋体-PUA" w:hAnsi="Times New Roman" w:eastAsia="宋体-PUA" w:cs="Times New Roman"/>
                <w:kern w:val="0"/>
                <w:sz w:val="18"/>
                <w:szCs w:val="18"/>
              </w:rPr>
              <w:t>及应用语言学</w:t>
            </w:r>
            <w:r>
              <w:rPr>
                <w:rFonts w:hint="eastAsia" w:ascii="宋体-PUA" w:hAnsi="Times New Roman" w:eastAsia="宋体-PUA" w:cs="Times New Roman"/>
                <w:kern w:val="0"/>
                <w:sz w:val="18"/>
                <w:szCs w:val="18"/>
              </w:rPr>
              <w:br w:type="textWrapping"/>
            </w:r>
            <w:r>
              <w:rPr>
                <w:rFonts w:hint="eastAsia" w:ascii="宋体-PUA" w:hAnsi="Times New Roman" w:eastAsia="宋体-PUA" w:cs="Times New Roman"/>
                <w:kern w:val="0"/>
                <w:sz w:val="18"/>
                <w:szCs w:val="18"/>
              </w:rPr>
              <w:t>（语言政策、语言战略）</w:t>
            </w:r>
          </w:p>
        </w:tc>
        <w:tc>
          <w:tcPr>
            <w:tcW w:w="290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专职科研人员</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365" w:hRule="atLeast"/>
          <w:jc w:val="center"/>
        </w:trPr>
        <w:tc>
          <w:tcPr>
            <w:tcW w:w="1760" w:type="dxa"/>
            <w:vMerge w:val="continue"/>
            <w:tcBorders>
              <w:top w:val="single" w:color="auto" w:sz="4" w:space="0"/>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法学（知识产权）</w:t>
            </w:r>
          </w:p>
        </w:tc>
        <w:tc>
          <w:tcPr>
            <w:tcW w:w="2900"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kern w:val="0"/>
                <w:sz w:val="18"/>
                <w:szCs w:val="18"/>
              </w:rPr>
            </w:pP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博士或副教授以上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556" w:hRule="atLeast"/>
          <w:jc w:val="center"/>
        </w:trPr>
        <w:tc>
          <w:tcPr>
            <w:tcW w:w="1760" w:type="dxa"/>
            <w:vMerge w:val="continue"/>
            <w:tcBorders>
              <w:top w:val="single" w:color="auto" w:sz="4" w:space="0"/>
              <w:left w:val="single" w:color="auto" w:sz="8"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b/>
                <w:bCs/>
                <w:kern w:val="0"/>
                <w:sz w:val="18"/>
                <w:szCs w:val="18"/>
              </w:rPr>
            </w:pPr>
          </w:p>
        </w:tc>
        <w:tc>
          <w:tcPr>
            <w:tcW w:w="2500" w:type="dxa"/>
            <w:tcBorders>
              <w:top w:val="nil"/>
              <w:left w:val="nil"/>
              <w:bottom w:val="nil"/>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计算机科学与技术</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（自然语言处理、机器翻译）</w:t>
            </w:r>
          </w:p>
        </w:tc>
        <w:tc>
          <w:tcPr>
            <w:tcW w:w="2900" w:type="dxa"/>
            <w:vMerge w:val="continue"/>
            <w:tcBorders>
              <w:top w:val="nil"/>
              <w:left w:val="single" w:color="auto" w:sz="4" w:space="0"/>
              <w:bottom w:val="single" w:color="000000" w:sz="4" w:space="0"/>
              <w:right w:val="single" w:color="auto" w:sz="4" w:space="0"/>
            </w:tcBorders>
            <w:vAlign w:val="center"/>
          </w:tcPr>
          <w:p>
            <w:pPr>
              <w:widowControl/>
              <w:spacing w:line="200" w:lineRule="exact"/>
              <w:jc w:val="left"/>
              <w:rPr>
                <w:rFonts w:ascii="Times New Roman" w:hAnsi="Times New Roman" w:eastAsia="宋体" w:cs="Times New Roman"/>
                <w:kern w:val="0"/>
                <w:sz w:val="18"/>
                <w:szCs w:val="18"/>
              </w:rPr>
            </w:pPr>
          </w:p>
        </w:tc>
        <w:tc>
          <w:tcPr>
            <w:tcW w:w="780" w:type="dxa"/>
            <w:tcBorders>
              <w:top w:val="nil"/>
              <w:left w:val="nil"/>
              <w:bottom w:val="nil"/>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nil"/>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硕士以上</w:t>
            </w:r>
          </w:p>
        </w:tc>
        <w:tc>
          <w:tcPr>
            <w:tcW w:w="1440" w:type="dxa"/>
            <w:tcBorders>
              <w:top w:val="nil"/>
              <w:left w:val="nil"/>
              <w:bottom w:val="nil"/>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225" w:hRule="atLeast"/>
          <w:jc w:val="center"/>
        </w:trPr>
        <w:tc>
          <w:tcPr>
            <w:tcW w:w="11040" w:type="dxa"/>
            <w:gridSpan w:val="6"/>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　</w:t>
            </w:r>
          </w:p>
        </w:tc>
      </w:tr>
      <w:tr>
        <w:tblPrEx>
          <w:tblLayout w:type="fixed"/>
          <w:tblCellMar>
            <w:top w:w="0" w:type="dxa"/>
            <w:left w:w="108" w:type="dxa"/>
            <w:bottom w:w="0" w:type="dxa"/>
            <w:right w:w="108" w:type="dxa"/>
          </w:tblCellMar>
        </w:tblPrEx>
        <w:trPr>
          <w:trHeight w:val="573" w:hRule="atLeast"/>
          <w:jc w:val="center"/>
        </w:trPr>
        <w:tc>
          <w:tcPr>
            <w:tcW w:w="1760"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其他专技岗位</w:t>
            </w:r>
            <w:r>
              <w:rPr>
                <w:rFonts w:hint="eastAsia" w:ascii="黑体" w:hAnsi="黑体" w:eastAsia="黑体" w:cs="宋体"/>
                <w:b/>
                <w:bCs/>
                <w:kern w:val="0"/>
                <w:sz w:val="18"/>
                <w:szCs w:val="18"/>
              </w:rPr>
              <w:br w:type="textWrapping"/>
            </w:r>
            <w:r>
              <w:rPr>
                <w:rFonts w:hint="eastAsia" w:ascii="黑体" w:hAnsi="黑体" w:eastAsia="黑体" w:cs="宋体"/>
                <w:b/>
                <w:bCs/>
                <w:kern w:val="0"/>
                <w:sz w:val="18"/>
                <w:szCs w:val="18"/>
              </w:rPr>
              <w:t>招聘单位</w:t>
            </w:r>
          </w:p>
        </w:tc>
        <w:tc>
          <w:tcPr>
            <w:tcW w:w="250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专 业</w:t>
            </w:r>
          </w:p>
        </w:tc>
        <w:tc>
          <w:tcPr>
            <w:tcW w:w="290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承担工作任务</w:t>
            </w:r>
          </w:p>
        </w:tc>
        <w:tc>
          <w:tcPr>
            <w:tcW w:w="78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招聘</w:t>
            </w:r>
            <w:r>
              <w:rPr>
                <w:rFonts w:hint="eastAsia" w:ascii="黑体" w:hAnsi="黑体" w:eastAsia="黑体" w:cs="宋体"/>
                <w:b/>
                <w:bCs/>
                <w:kern w:val="0"/>
                <w:sz w:val="18"/>
                <w:szCs w:val="18"/>
              </w:rPr>
              <w:br w:type="textWrapping"/>
            </w:r>
            <w:r>
              <w:rPr>
                <w:rFonts w:hint="eastAsia" w:ascii="黑体" w:hAnsi="黑体" w:eastAsia="黑体" w:cs="宋体"/>
                <w:b/>
                <w:bCs/>
                <w:kern w:val="0"/>
                <w:sz w:val="18"/>
                <w:szCs w:val="18"/>
              </w:rPr>
              <w:t>人数</w:t>
            </w:r>
          </w:p>
        </w:tc>
        <w:tc>
          <w:tcPr>
            <w:tcW w:w="1660" w:type="dxa"/>
            <w:tcBorders>
              <w:top w:val="single" w:color="auto" w:sz="4" w:space="0"/>
              <w:left w:val="nil"/>
              <w:bottom w:val="single" w:color="auto" w:sz="8" w:space="0"/>
              <w:right w:val="single" w:color="auto" w:sz="4"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学位或职称</w:t>
            </w:r>
            <w:r>
              <w:rPr>
                <w:rFonts w:hint="eastAsia" w:ascii="黑体" w:hAnsi="黑体" w:eastAsia="黑体" w:cs="宋体"/>
                <w:b/>
                <w:bCs/>
                <w:kern w:val="0"/>
                <w:sz w:val="18"/>
                <w:szCs w:val="18"/>
              </w:rPr>
              <w:br w:type="textWrapping"/>
            </w:r>
            <w:r>
              <w:rPr>
                <w:rFonts w:hint="eastAsia" w:ascii="黑体" w:hAnsi="黑体" w:eastAsia="黑体" w:cs="宋体"/>
                <w:b/>
                <w:bCs/>
                <w:kern w:val="0"/>
                <w:sz w:val="18"/>
                <w:szCs w:val="18"/>
              </w:rPr>
              <w:t>要求</w:t>
            </w:r>
          </w:p>
        </w:tc>
        <w:tc>
          <w:tcPr>
            <w:tcW w:w="1440" w:type="dxa"/>
            <w:tcBorders>
              <w:top w:val="single" w:color="auto" w:sz="4" w:space="0"/>
              <w:left w:val="nil"/>
              <w:bottom w:val="single" w:color="auto" w:sz="8" w:space="0"/>
              <w:right w:val="single" w:color="auto" w:sz="8" w:space="0"/>
            </w:tcBorders>
            <w:shd w:val="clear" w:color="auto" w:fill="auto"/>
            <w:vAlign w:val="center"/>
          </w:tcPr>
          <w:p>
            <w:pPr>
              <w:widowControl/>
              <w:spacing w:line="200" w:lineRule="exact"/>
              <w:jc w:val="center"/>
              <w:rPr>
                <w:rFonts w:ascii="黑体" w:hAnsi="黑体" w:eastAsia="黑体" w:cs="宋体"/>
                <w:b/>
                <w:bCs/>
                <w:kern w:val="0"/>
                <w:sz w:val="18"/>
                <w:szCs w:val="18"/>
              </w:rPr>
            </w:pPr>
            <w:r>
              <w:rPr>
                <w:rFonts w:hint="eastAsia" w:ascii="黑体" w:hAnsi="黑体" w:eastAsia="黑体" w:cs="宋体"/>
                <w:b/>
                <w:bCs/>
                <w:kern w:val="0"/>
                <w:sz w:val="18"/>
                <w:szCs w:val="18"/>
              </w:rPr>
              <w:t>备注</w:t>
            </w:r>
          </w:p>
        </w:tc>
      </w:tr>
      <w:tr>
        <w:tblPrEx>
          <w:tblLayout w:type="fixed"/>
          <w:tblCellMar>
            <w:top w:w="0" w:type="dxa"/>
            <w:left w:w="108" w:type="dxa"/>
            <w:bottom w:w="0" w:type="dxa"/>
            <w:right w:w="108" w:type="dxa"/>
          </w:tblCellMar>
        </w:tblPrEx>
        <w:trPr>
          <w:trHeight w:val="417" w:hRule="atLeast"/>
          <w:jc w:val="center"/>
        </w:trPr>
        <w:tc>
          <w:tcPr>
            <w:tcW w:w="176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旅游学院</w:t>
            </w:r>
            <w:r>
              <w:rPr>
                <w:rFonts w:hint="eastAsia" w:ascii="宋体" w:hAnsi="宋体" w:eastAsia="宋体" w:cs="Times New Roman"/>
                <w:b/>
                <w:bCs/>
                <w:kern w:val="0"/>
                <w:sz w:val="18"/>
                <w:szCs w:val="18"/>
              </w:rPr>
              <w:br w:type="textWrapping"/>
            </w:r>
            <w:r>
              <w:rPr>
                <w:rFonts w:hint="eastAsia" w:ascii="宋体" w:hAnsi="宋体" w:eastAsia="宋体" w:cs="Times New Roman"/>
                <w:b/>
                <w:bCs/>
                <w:kern w:val="0"/>
                <w:sz w:val="18"/>
                <w:szCs w:val="18"/>
              </w:rPr>
              <w:t>（人文地理研究所）</w:t>
            </w:r>
          </w:p>
        </w:tc>
        <w:tc>
          <w:tcPr>
            <w:tcW w:w="250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人文地理学</w:t>
            </w:r>
          </w:p>
        </w:tc>
        <w:tc>
          <w:tcPr>
            <w:tcW w:w="290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图文编辑</w:t>
            </w:r>
          </w:p>
        </w:tc>
        <w:tc>
          <w:tcPr>
            <w:tcW w:w="78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single" w:color="auto" w:sz="4" w:space="0"/>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570" w:hRule="atLeast"/>
          <w:jc w:val="center"/>
        </w:trPr>
        <w:tc>
          <w:tcPr>
            <w:tcW w:w="1760" w:type="dxa"/>
            <w:tcBorders>
              <w:top w:val="nil"/>
              <w:left w:val="single" w:color="auto" w:sz="8" w:space="0"/>
              <w:bottom w:val="nil"/>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图书馆</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PUA" w:hAnsi="Times New Roman" w:eastAsia="宋体-PUA" w:cs="Times New Roman"/>
                <w:kern w:val="0"/>
                <w:sz w:val="18"/>
                <w:szCs w:val="18"/>
              </w:rPr>
              <w:t>图书馆、情报学</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文献资源建设、推广及学科服务</w:t>
            </w:r>
            <w:r>
              <w:rPr>
                <w:rFonts w:hint="eastAsia" w:ascii="宋体" w:hAnsi="宋体" w:eastAsia="宋体" w:cs="Times New Roman"/>
                <w:kern w:val="0"/>
                <w:sz w:val="18"/>
                <w:szCs w:val="18"/>
              </w:rPr>
              <w:br w:type="textWrapping"/>
            </w:r>
            <w:r>
              <w:rPr>
                <w:rFonts w:hint="eastAsia" w:ascii="宋体" w:hAnsi="宋体" w:eastAsia="宋体" w:cs="Times New Roman"/>
                <w:kern w:val="0"/>
                <w:sz w:val="18"/>
                <w:szCs w:val="18"/>
              </w:rPr>
              <w:t>中英文文献咨询服务</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r>
        <w:tblPrEx>
          <w:tblLayout w:type="fixed"/>
          <w:tblCellMar>
            <w:top w:w="0" w:type="dxa"/>
            <w:left w:w="108" w:type="dxa"/>
            <w:bottom w:w="0" w:type="dxa"/>
            <w:right w:w="108" w:type="dxa"/>
          </w:tblCellMar>
        </w:tblPrEx>
        <w:trPr>
          <w:trHeight w:val="565" w:hRule="atLeast"/>
          <w:jc w:val="center"/>
        </w:trPr>
        <w:tc>
          <w:tcPr>
            <w:tcW w:w="176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b/>
                <w:bCs/>
                <w:kern w:val="0"/>
                <w:sz w:val="18"/>
                <w:szCs w:val="18"/>
              </w:rPr>
            </w:pPr>
            <w:r>
              <w:rPr>
                <w:rFonts w:hint="eastAsia" w:ascii="宋体" w:hAnsi="宋体" w:eastAsia="宋体" w:cs="Times New Roman"/>
                <w:b/>
                <w:bCs/>
                <w:kern w:val="0"/>
                <w:sz w:val="18"/>
                <w:szCs w:val="18"/>
              </w:rPr>
              <w:t>信息技术中心</w:t>
            </w:r>
          </w:p>
        </w:tc>
        <w:tc>
          <w:tcPr>
            <w:tcW w:w="25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计算机科学与技术</w:t>
            </w:r>
          </w:p>
        </w:tc>
        <w:tc>
          <w:tcPr>
            <w:tcW w:w="290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信息化项目建设</w:t>
            </w:r>
          </w:p>
        </w:tc>
        <w:tc>
          <w:tcPr>
            <w:tcW w:w="78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660"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hint="eastAsia" w:ascii="宋体" w:hAnsi="宋体" w:eastAsia="宋体" w:cs="Times New Roman"/>
                <w:kern w:val="0"/>
                <w:sz w:val="18"/>
                <w:szCs w:val="18"/>
              </w:rPr>
              <w:t>博士或副高以上</w:t>
            </w:r>
          </w:p>
        </w:tc>
        <w:tc>
          <w:tcPr>
            <w:tcW w:w="1440" w:type="dxa"/>
            <w:tcBorders>
              <w:top w:val="nil"/>
              <w:left w:val="nil"/>
              <w:bottom w:val="single" w:color="auto" w:sz="4" w:space="0"/>
              <w:right w:val="single" w:color="auto" w:sz="8" w:space="0"/>
            </w:tcBorders>
            <w:shd w:val="clear" w:color="auto" w:fill="auto"/>
            <w:vAlign w:val="center"/>
          </w:tcPr>
          <w:p>
            <w:pPr>
              <w:widowControl/>
              <w:spacing w:line="20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w:t>
            </w:r>
          </w:p>
        </w:tc>
      </w:tr>
    </w:tbl>
    <w:p>
      <w:pPr>
        <w:spacing w:line="200" w:lineRule="exact"/>
        <w:jc w:val="left"/>
        <w:rPr>
          <w:rFonts w:ascii="仿宋" w:hAnsi="仿宋" w:eastAsia="仿宋"/>
          <w:sz w:val="10"/>
          <w:szCs w:val="10"/>
        </w:rPr>
      </w:pPr>
    </w:p>
    <w:sectPr>
      <w:pgSz w:w="11906" w:h="16838"/>
      <w:pgMar w:top="709" w:right="1588" w:bottom="709"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宋体-PUA">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9EF"/>
    <w:rsid w:val="00022BB5"/>
    <w:rsid w:val="00091463"/>
    <w:rsid w:val="000D2131"/>
    <w:rsid w:val="000E131A"/>
    <w:rsid w:val="000E5FA0"/>
    <w:rsid w:val="00124FD6"/>
    <w:rsid w:val="0018276D"/>
    <w:rsid w:val="001B2F9D"/>
    <w:rsid w:val="001B3599"/>
    <w:rsid w:val="001C67BE"/>
    <w:rsid w:val="001E0A38"/>
    <w:rsid w:val="001E55E0"/>
    <w:rsid w:val="001F04E8"/>
    <w:rsid w:val="00206D62"/>
    <w:rsid w:val="00243871"/>
    <w:rsid w:val="00255C96"/>
    <w:rsid w:val="002659EF"/>
    <w:rsid w:val="002A29AB"/>
    <w:rsid w:val="002D0887"/>
    <w:rsid w:val="003179AF"/>
    <w:rsid w:val="0034772B"/>
    <w:rsid w:val="003513A0"/>
    <w:rsid w:val="0037281C"/>
    <w:rsid w:val="00376CAC"/>
    <w:rsid w:val="003A73D6"/>
    <w:rsid w:val="003B66F9"/>
    <w:rsid w:val="003F39D0"/>
    <w:rsid w:val="00401E7E"/>
    <w:rsid w:val="00410F26"/>
    <w:rsid w:val="00412F42"/>
    <w:rsid w:val="00457E9E"/>
    <w:rsid w:val="0046279A"/>
    <w:rsid w:val="00462826"/>
    <w:rsid w:val="0047033B"/>
    <w:rsid w:val="004C1E54"/>
    <w:rsid w:val="004E64C9"/>
    <w:rsid w:val="00500D91"/>
    <w:rsid w:val="005A1B3C"/>
    <w:rsid w:val="005B1EE5"/>
    <w:rsid w:val="005D3D76"/>
    <w:rsid w:val="00625BE1"/>
    <w:rsid w:val="00636C39"/>
    <w:rsid w:val="00651ADD"/>
    <w:rsid w:val="00683E32"/>
    <w:rsid w:val="006921E1"/>
    <w:rsid w:val="006A6CFE"/>
    <w:rsid w:val="006E19AD"/>
    <w:rsid w:val="007041E4"/>
    <w:rsid w:val="00723955"/>
    <w:rsid w:val="007263EC"/>
    <w:rsid w:val="007323B0"/>
    <w:rsid w:val="007760E6"/>
    <w:rsid w:val="007F65F9"/>
    <w:rsid w:val="00875C36"/>
    <w:rsid w:val="00877A3F"/>
    <w:rsid w:val="008D6FB0"/>
    <w:rsid w:val="008F6069"/>
    <w:rsid w:val="00900B8F"/>
    <w:rsid w:val="00933AE8"/>
    <w:rsid w:val="00943CC0"/>
    <w:rsid w:val="009655E3"/>
    <w:rsid w:val="0099505E"/>
    <w:rsid w:val="009E3408"/>
    <w:rsid w:val="00A20172"/>
    <w:rsid w:val="00A21055"/>
    <w:rsid w:val="00A75813"/>
    <w:rsid w:val="00A919FE"/>
    <w:rsid w:val="00AA04E2"/>
    <w:rsid w:val="00AB7108"/>
    <w:rsid w:val="00AD3DA5"/>
    <w:rsid w:val="00B04260"/>
    <w:rsid w:val="00B0743D"/>
    <w:rsid w:val="00B619F2"/>
    <w:rsid w:val="00BB712D"/>
    <w:rsid w:val="00BF794B"/>
    <w:rsid w:val="00C1144E"/>
    <w:rsid w:val="00C26EEA"/>
    <w:rsid w:val="00C2761B"/>
    <w:rsid w:val="00C646E8"/>
    <w:rsid w:val="00C9368B"/>
    <w:rsid w:val="00CA27C6"/>
    <w:rsid w:val="00CE3732"/>
    <w:rsid w:val="00CF0C7D"/>
    <w:rsid w:val="00CF7455"/>
    <w:rsid w:val="00D625BE"/>
    <w:rsid w:val="00D93F4C"/>
    <w:rsid w:val="00E021C7"/>
    <w:rsid w:val="00E073CB"/>
    <w:rsid w:val="00E41537"/>
    <w:rsid w:val="00EC2C8B"/>
    <w:rsid w:val="00F000A5"/>
    <w:rsid w:val="00F35E8E"/>
    <w:rsid w:val="00F41FCF"/>
    <w:rsid w:val="00F66093"/>
    <w:rsid w:val="00F724AC"/>
    <w:rsid w:val="00F73FD0"/>
    <w:rsid w:val="00F8768B"/>
    <w:rsid w:val="00F9797F"/>
    <w:rsid w:val="376F2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80E99-5848-438F-81FC-D283DBADC8A8}">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393</Words>
  <Characters>2242</Characters>
  <Lines>18</Lines>
  <Paragraphs>5</Paragraphs>
  <TotalTime>242</TotalTime>
  <ScaleCrop>false</ScaleCrop>
  <LinksUpToDate>false</LinksUpToDate>
  <CharactersWithSpaces>2630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2015-10-20T01:20:00Z</dcterms:created>
  <dc:creator>微软用户</dc:creator>
  <cp:lastModifiedBy>Administrator</cp:lastModifiedBy>
  <cp:lastPrinted>2017-09-28T06:34:00Z</cp:lastPrinted>
  <dcterms:modified xsi:type="dcterms:W3CDTF">2018-10-22T02:30:05Z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