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b/>
          <w:bCs/>
          <w:sz w:val="32"/>
          <w:szCs w:val="32"/>
          <w:lang w:val="en-US" w:eastAsia="zh-CN"/>
        </w:rPr>
      </w:pPr>
    </w:p>
    <w:p>
      <w:pPr>
        <w:spacing w:line="360" w:lineRule="auto"/>
        <w:jc w:val="center"/>
        <w:rPr>
          <w:rFonts w:hint="eastAsia"/>
          <w:b/>
          <w:bCs/>
          <w:sz w:val="32"/>
          <w:szCs w:val="32"/>
          <w:lang w:val="en-US" w:eastAsia="zh-CN"/>
        </w:rPr>
      </w:pPr>
      <w:r>
        <w:rPr>
          <w:rFonts w:hint="eastAsia"/>
          <w:b/>
          <w:bCs/>
          <w:sz w:val="32"/>
          <w:szCs w:val="32"/>
          <w:lang w:val="en-US" w:eastAsia="zh-CN"/>
        </w:rPr>
        <w:t>西北有色金属研究院（集团）2019年度</w:t>
      </w:r>
      <w:bookmarkStart w:id="0" w:name="_GoBack"/>
      <w:bookmarkEnd w:id="0"/>
      <w:r>
        <w:rPr>
          <w:rFonts w:hint="eastAsia"/>
          <w:b/>
          <w:bCs/>
          <w:sz w:val="32"/>
          <w:szCs w:val="32"/>
          <w:lang w:val="en-US" w:eastAsia="zh-CN"/>
        </w:rPr>
        <w:t>招聘简章</w:t>
      </w:r>
    </w:p>
    <w:p>
      <w:pPr>
        <w:spacing w:line="360" w:lineRule="auto"/>
        <w:ind w:firstLine="480" w:firstLineChars="200"/>
        <w:jc w:val="center"/>
        <w:rPr>
          <w:rFonts w:hint="eastAsia"/>
          <w:sz w:val="24"/>
          <w:lang w:val="en-US" w:eastAsia="zh-CN"/>
        </w:rPr>
      </w:pPr>
    </w:p>
    <w:p>
      <w:pPr>
        <w:ind w:firstLine="420"/>
        <w:rPr>
          <w:rFonts w:hint="eastAsia" w:ascii="仿宋_GB2312" w:eastAsia="仿宋_GB2312"/>
          <w:sz w:val="28"/>
          <w:szCs w:val="28"/>
        </w:rPr>
      </w:pPr>
      <w:r>
        <w:rPr>
          <w:rFonts w:hint="eastAsia" w:ascii="仿宋_GB2312" w:eastAsia="仿宋_GB2312"/>
          <w:sz w:val="28"/>
          <w:szCs w:val="28"/>
        </w:rPr>
        <w:t>西北有色金属研究院是我国重要的稀有金属材料研究基地和行业技术开发中心、是国内**稀有金属科研生产基地、稀有金属材料加工国家工程研究中心、金属多孔材料国家重点实验室、超导材料制备国家工程实验室、中国有色金属工业西北质量监督检验中心、层状金属复合材料国家地方联合工程研究中心等多个研究中心的依托单位。研究院现有正式职工3360人，其中科技人员千余人，有中国工程院院士1人，教授、高工330多人，博士、硕士630余名。</w:t>
      </w:r>
    </w:p>
    <w:p>
      <w:pPr>
        <w:ind w:firstLine="420"/>
        <w:rPr>
          <w:rFonts w:hint="eastAsia" w:ascii="仿宋_GB2312" w:eastAsia="仿宋_GB2312"/>
          <w:sz w:val="28"/>
          <w:szCs w:val="28"/>
        </w:rPr>
      </w:pPr>
      <w:r>
        <w:rPr>
          <w:rFonts w:hint="eastAsia" w:ascii="仿宋_GB2312" w:eastAsia="仿宋_GB2312"/>
          <w:sz w:val="28"/>
          <w:szCs w:val="28"/>
        </w:rPr>
        <w:t>材料科学与工程研究一直是西北有色金属研究院研发工作的主线，在历任院领导的带领下，经过几辈科研工作者的努力，已形成独具特色的钛合金、超导材料、高温合金、难熔与核材料、生物医用材料等研究领域，以及3D打印技术、粉末冶金、压力加工、应用化学等多个技术开发领域，相关领域研究已经达到世界一流相当水平，在国内同行业处于领先地位。</w:t>
      </w:r>
    </w:p>
    <w:p>
      <w:pPr>
        <w:ind w:firstLine="420"/>
        <w:rPr>
          <w:rFonts w:hint="eastAsia" w:ascii="仿宋_GB2312" w:eastAsia="仿宋_GB2312"/>
          <w:sz w:val="28"/>
          <w:szCs w:val="28"/>
        </w:rPr>
      </w:pPr>
      <w:r>
        <w:rPr>
          <w:rFonts w:hint="eastAsia" w:ascii="仿宋_GB2312" w:eastAsia="仿宋_GB2312"/>
          <w:sz w:val="28"/>
          <w:szCs w:val="28"/>
        </w:rPr>
        <w:t>西北有色金属研究院经过50多年的发展，已成为一个由国家级重点研究院、工程研究中心和若干产业化公司组成的大型科技集团，形成了基础研究、工程化和产业化“三位一体”的发展模式；已经建成了一批在国际上具有相当影响力的材料研究领域，迄今，研究院共获得1100余项科研成果奖和1045项专有与专利技术。同时，研究院加强成果转化及工程化工作，共开发试制新产品10000多项；发起组建了30个控股参股的高新技术企业，形成了国内最大的稀有金属新材料科研、生产基地。研究院曾先后荣获“全国五一劳动奖状”、“高技术武器装备发展建设工程突出贡献奖”、“国防科技工业协作配套先进单位”、“国防科技创新团队”、“国家科技计划执行优秀团队”、“国家工程中心重大成就奖”等殊荣。</w:t>
      </w:r>
    </w:p>
    <w:p>
      <w:pPr>
        <w:ind w:firstLine="420"/>
        <w:rPr>
          <w:rFonts w:hint="eastAsia" w:ascii="仿宋_GB2312" w:eastAsia="仿宋_GB2312"/>
          <w:sz w:val="28"/>
          <w:szCs w:val="28"/>
        </w:rPr>
      </w:pPr>
      <w:r>
        <w:rPr>
          <w:rFonts w:hint="eastAsia" w:ascii="仿宋_GB2312" w:eastAsia="仿宋_GB2312"/>
          <w:sz w:val="28"/>
          <w:szCs w:val="28"/>
        </w:rPr>
        <w:t>在国内外学术界，西北有色金属研究院也占有重要地位，是国际钛协会、国际低温材料委员会、国际普兰西难熔金属协会、国际材联、中国材料研究学会等10多个国内外学术组织的团体会员、理事或委员单位。与美、日、德、法、俄、奥地利、波兰等国家有多项常年政府间合作与交流项目。</w:t>
      </w:r>
    </w:p>
    <w:p>
      <w:pPr>
        <w:ind w:firstLine="420"/>
        <w:rPr>
          <w:rFonts w:hint="eastAsia"/>
          <w:b/>
          <w:bCs/>
          <w:sz w:val="30"/>
          <w:szCs w:val="30"/>
          <w:lang w:eastAsia="zh-CN"/>
        </w:rPr>
      </w:pPr>
      <w:r>
        <w:rPr>
          <w:rFonts w:hint="eastAsia" w:ascii="仿宋_GB2312" w:eastAsia="仿宋_GB2312"/>
          <w:sz w:val="28"/>
          <w:szCs w:val="28"/>
        </w:rPr>
        <w:t>诚挚的邀请金属材料、材料学、材料加工、粉末冶金等材料类相关专业优秀人才加入西北有色金属研究院一起共创辉煌未来。</w:t>
      </w:r>
    </w:p>
    <w:p>
      <w:pPr>
        <w:spacing w:line="360" w:lineRule="auto"/>
        <w:jc w:val="left"/>
        <w:rPr>
          <w:rFonts w:hint="eastAsia"/>
          <w:b/>
          <w:bCs/>
          <w:sz w:val="30"/>
          <w:szCs w:val="30"/>
          <w:lang w:eastAsia="zh-CN"/>
        </w:rPr>
      </w:pPr>
      <w:r>
        <w:rPr>
          <w:rFonts w:hint="eastAsia"/>
          <w:b/>
          <w:bCs/>
          <w:sz w:val="30"/>
          <w:szCs w:val="30"/>
          <w:lang w:eastAsia="zh-CN"/>
        </w:rPr>
        <w:t>招聘专业：</w:t>
      </w:r>
    </w:p>
    <w:p>
      <w:pPr>
        <w:ind w:firstLine="420"/>
        <w:rPr>
          <w:rFonts w:hint="eastAsia" w:ascii="仿宋_GB2312" w:eastAsia="仿宋_GB2312"/>
          <w:sz w:val="28"/>
          <w:szCs w:val="28"/>
          <w:lang w:eastAsia="zh-CN"/>
        </w:rPr>
      </w:pPr>
      <w:r>
        <w:rPr>
          <w:rFonts w:hint="eastAsia" w:ascii="仿宋_GB2312" w:eastAsia="仿宋_GB2312"/>
          <w:sz w:val="28"/>
          <w:szCs w:val="28"/>
          <w:lang w:val="en-US" w:eastAsia="zh-CN"/>
        </w:rPr>
        <w:t>材料学、金属材料、材料加工工程、材料物理化学、粉末冶金、冶金工程等材料类专业</w:t>
      </w:r>
    </w:p>
    <w:p>
      <w:pPr>
        <w:spacing w:line="360" w:lineRule="auto"/>
        <w:jc w:val="left"/>
        <w:rPr>
          <w:rFonts w:hint="eastAsia"/>
          <w:b/>
          <w:bCs/>
          <w:sz w:val="30"/>
          <w:szCs w:val="30"/>
          <w:lang w:eastAsia="zh-CN"/>
        </w:rPr>
      </w:pPr>
      <w:r>
        <w:rPr>
          <w:rFonts w:hint="eastAsia"/>
          <w:b/>
          <w:bCs/>
          <w:sz w:val="30"/>
          <w:szCs w:val="30"/>
          <w:lang w:eastAsia="zh-CN"/>
        </w:rPr>
        <w:t>招聘人数：</w:t>
      </w:r>
    </w:p>
    <w:p>
      <w:pPr>
        <w:ind w:firstLine="420"/>
        <w:rPr>
          <w:rFonts w:hint="eastAsia" w:ascii="仿宋_GB2312" w:eastAsia="仿宋_GB2312"/>
          <w:sz w:val="28"/>
          <w:szCs w:val="28"/>
          <w:lang w:val="en-US" w:eastAsia="zh-CN"/>
        </w:rPr>
      </w:pPr>
      <w:r>
        <w:rPr>
          <w:rFonts w:hint="eastAsia" w:ascii="仿宋_GB2312" w:eastAsia="仿宋_GB2312"/>
          <w:sz w:val="28"/>
          <w:szCs w:val="28"/>
          <w:lang w:val="en-US" w:eastAsia="zh-CN"/>
        </w:rPr>
        <w:t>博士33名，硕士12名，本科5名、专科16名，共计66名</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rPr>
        <w:t>福利</w:t>
      </w:r>
      <w:r>
        <w:rPr>
          <w:rFonts w:hint="eastAsia" w:ascii="宋体" w:hAnsi="宋体" w:cs="宋体"/>
          <w:b/>
          <w:bCs w:val="0"/>
          <w:sz w:val="28"/>
          <w:szCs w:val="28"/>
          <w:lang w:eastAsia="zh-CN"/>
        </w:rPr>
        <w:t>待遇：</w:t>
      </w:r>
    </w:p>
    <w:p>
      <w:pPr>
        <w:ind w:firstLine="420"/>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val="en-US" w:eastAsia="zh-CN"/>
        </w:rPr>
        <w:t>拥有完善的薪酬及福利待遇：提供安家费、</w:t>
      </w:r>
      <w:r>
        <w:rPr>
          <w:rFonts w:hint="eastAsia" w:ascii="仿宋_GB2312" w:eastAsia="仿宋_GB2312"/>
          <w:sz w:val="28"/>
          <w:szCs w:val="28"/>
        </w:rPr>
        <w:t>缴纳养老保险、医疗保险、工伤保险、失业保险、生育保险、意外伤害险、</w:t>
      </w:r>
      <w:r>
        <w:rPr>
          <w:rFonts w:hint="eastAsia" w:ascii="仿宋_GB2312" w:eastAsia="仿宋_GB2312"/>
          <w:sz w:val="28"/>
          <w:szCs w:val="28"/>
          <w:lang w:eastAsia="zh-CN"/>
        </w:rPr>
        <w:t>住房</w:t>
      </w:r>
      <w:r>
        <w:rPr>
          <w:rFonts w:hint="eastAsia" w:ascii="仿宋_GB2312" w:eastAsia="仿宋_GB2312"/>
          <w:sz w:val="28"/>
          <w:szCs w:val="28"/>
        </w:rPr>
        <w:t>公积金</w:t>
      </w:r>
      <w:r>
        <w:rPr>
          <w:rFonts w:hint="eastAsia" w:ascii="仿宋_GB2312" w:eastAsia="仿宋_GB2312"/>
          <w:sz w:val="28"/>
          <w:szCs w:val="28"/>
          <w:lang w:eastAsia="zh-CN"/>
        </w:rPr>
        <w:t>等</w:t>
      </w:r>
      <w:r>
        <w:rPr>
          <w:rFonts w:hint="eastAsia" w:ascii="仿宋_GB2312" w:eastAsia="仿宋_GB2312"/>
          <w:sz w:val="28"/>
          <w:szCs w:val="28"/>
        </w:rPr>
        <w:t>。</w:t>
      </w:r>
    </w:p>
    <w:p>
      <w:pPr>
        <w:ind w:firstLine="420"/>
        <w:rPr>
          <w:rFonts w:hint="eastAsia" w:ascii="仿宋_GB2312" w:eastAsia="仿宋_GB2312"/>
          <w:sz w:val="28"/>
          <w:szCs w:val="28"/>
        </w:rPr>
      </w:pPr>
      <w:r>
        <w:rPr>
          <w:rFonts w:hint="eastAsia" w:ascii="仿宋_GB2312" w:eastAsia="仿宋_GB2312"/>
          <w:sz w:val="28"/>
          <w:szCs w:val="28"/>
        </w:rPr>
        <w:t>2、提供交通补贴、</w:t>
      </w:r>
      <w:r>
        <w:rPr>
          <w:rFonts w:hint="eastAsia" w:ascii="仿宋_GB2312" w:eastAsia="仿宋_GB2312"/>
          <w:sz w:val="28"/>
          <w:szCs w:val="28"/>
          <w:lang w:eastAsia="zh-CN"/>
        </w:rPr>
        <w:t>误餐补贴</w:t>
      </w:r>
      <w:r>
        <w:rPr>
          <w:rFonts w:hint="eastAsia" w:ascii="仿宋_GB2312" w:eastAsia="仿宋_GB2312"/>
          <w:sz w:val="28"/>
          <w:szCs w:val="28"/>
        </w:rPr>
        <w:t>、采暖补贴、高温补贴、</w:t>
      </w:r>
      <w:r>
        <w:rPr>
          <w:rFonts w:hint="eastAsia" w:ascii="仿宋_GB2312" w:eastAsia="仿宋_GB2312"/>
          <w:sz w:val="28"/>
          <w:szCs w:val="28"/>
          <w:lang w:eastAsia="zh-CN"/>
        </w:rPr>
        <w:t>防暑降温品</w:t>
      </w:r>
      <w:r>
        <w:rPr>
          <w:rFonts w:hint="eastAsia" w:ascii="仿宋_GB2312" w:eastAsia="仿宋_GB2312"/>
          <w:sz w:val="28"/>
          <w:szCs w:val="28"/>
        </w:rPr>
        <w:t>、单身宿舍、节假日礼品</w:t>
      </w:r>
      <w:r>
        <w:rPr>
          <w:rFonts w:hint="eastAsia" w:ascii="仿宋_GB2312" w:eastAsia="仿宋_GB2312"/>
          <w:sz w:val="28"/>
          <w:szCs w:val="28"/>
          <w:lang w:eastAsia="zh-CN"/>
        </w:rPr>
        <w:t>等，提供单身宿舍或单身公寓楼</w:t>
      </w:r>
      <w:r>
        <w:rPr>
          <w:rFonts w:hint="eastAsia" w:ascii="仿宋_GB2312" w:eastAsia="仿宋_GB2312"/>
          <w:sz w:val="28"/>
          <w:szCs w:val="28"/>
        </w:rPr>
        <w:t>。</w:t>
      </w:r>
    </w:p>
    <w:p>
      <w:pPr>
        <w:ind w:firstLine="420"/>
        <w:rPr>
          <w:rFonts w:hint="eastAsia" w:ascii="仿宋_GB2312" w:eastAsia="仿宋_GB2312"/>
          <w:sz w:val="28"/>
          <w:szCs w:val="28"/>
        </w:rPr>
      </w:pPr>
      <w:r>
        <w:rPr>
          <w:rFonts w:hint="eastAsia" w:ascii="仿宋_GB2312" w:eastAsia="仿宋_GB2312"/>
          <w:sz w:val="28"/>
          <w:szCs w:val="28"/>
        </w:rPr>
        <w:t>3、提供优秀员工奖、年底奖金及研发奖励。</w:t>
      </w:r>
    </w:p>
    <w:p>
      <w:pPr>
        <w:ind w:firstLine="420"/>
        <w:rPr>
          <w:rFonts w:hint="eastAsia" w:ascii="仿宋_GB2312" w:eastAsia="仿宋_GB2312"/>
          <w:sz w:val="28"/>
          <w:szCs w:val="28"/>
        </w:rPr>
      </w:pPr>
      <w:r>
        <w:rPr>
          <w:rFonts w:hint="eastAsia" w:ascii="仿宋_GB2312" w:eastAsia="仿宋_GB2312"/>
          <w:sz w:val="28"/>
          <w:szCs w:val="28"/>
        </w:rPr>
        <w:t>4、享受国家法定节假日及带薪年休假。</w:t>
      </w:r>
    </w:p>
    <w:p>
      <w:pPr>
        <w:ind w:firstLine="420"/>
        <w:rPr>
          <w:rFonts w:hint="eastAsia" w:ascii="仿宋_GB2312" w:eastAsia="仿宋_GB2312"/>
          <w:sz w:val="28"/>
          <w:szCs w:val="28"/>
          <w:lang w:val="en-US" w:eastAsia="zh-CN"/>
        </w:rPr>
      </w:pPr>
      <w:r>
        <w:rPr>
          <w:rFonts w:hint="eastAsia" w:ascii="仿宋_GB2312" w:eastAsia="仿宋_GB2312"/>
          <w:sz w:val="28"/>
          <w:szCs w:val="28"/>
          <w:lang w:val="en-US" w:eastAsia="zh-CN"/>
        </w:rPr>
        <w:t>5、为优秀毕业生提供同行业具有相当竞争力薪酬。</w:t>
      </w:r>
    </w:p>
    <w:p>
      <w:pPr>
        <w:ind w:firstLine="420"/>
        <w:rPr>
          <w:rFonts w:hint="eastAsia" w:ascii="仿宋_GB2312" w:eastAsia="仿宋_GB2312"/>
          <w:sz w:val="28"/>
          <w:szCs w:val="28"/>
          <w:lang w:val="en-US" w:eastAsia="zh-CN"/>
        </w:rPr>
      </w:pPr>
      <w:r>
        <w:rPr>
          <w:rFonts w:hint="eastAsia" w:ascii="仿宋_GB2312" w:eastAsia="仿宋_GB2312"/>
          <w:sz w:val="28"/>
          <w:szCs w:val="28"/>
          <w:lang w:val="en-US" w:eastAsia="zh-CN"/>
        </w:rPr>
        <w:t>6、集团每年举办丰富多彩的工会活动：足球赛、篮球赛、羽毛球赛等。</w:t>
      </w:r>
    </w:p>
    <w:p>
      <w:pPr>
        <w:rPr>
          <w:rFonts w:hint="eastAsia" w:ascii="仿宋_GB2312" w:eastAsia="仿宋_GB2312"/>
          <w:sz w:val="28"/>
          <w:szCs w:val="28"/>
          <w:lang w:val="en-US" w:eastAsia="zh-CN"/>
        </w:rPr>
      </w:pPr>
      <w:r>
        <w:rPr>
          <w:rFonts w:hint="eastAsia" w:ascii="宋体" w:hAnsi="宋体" w:eastAsia="宋体" w:cs="宋体"/>
          <w:b/>
          <w:bCs w:val="0"/>
          <w:sz w:val="28"/>
          <w:szCs w:val="28"/>
          <w:lang w:val="en-US" w:eastAsia="zh-CN"/>
        </w:rPr>
        <w:t>单位地址</w:t>
      </w:r>
      <w:r>
        <w:rPr>
          <w:rFonts w:hint="eastAsia" w:ascii="仿宋_GB2312" w:eastAsia="仿宋_GB2312"/>
          <w:sz w:val="28"/>
          <w:szCs w:val="28"/>
          <w:lang w:val="en-US" w:eastAsia="zh-CN"/>
        </w:rPr>
        <w:t>：陕西省西安市未央区未央路96号</w:t>
      </w:r>
    </w:p>
    <w:p>
      <w:pPr>
        <w:rPr>
          <w:rFonts w:hint="eastAsia" w:ascii="仿宋_GB2312" w:eastAsia="仿宋_GB2312"/>
          <w:sz w:val="28"/>
          <w:szCs w:val="28"/>
          <w:lang w:val="en-US" w:eastAsia="zh-CN"/>
        </w:rPr>
      </w:pPr>
      <w:r>
        <w:rPr>
          <w:rFonts w:hint="eastAsia" w:ascii="宋体" w:hAnsi="宋体" w:eastAsia="宋体" w:cs="宋体"/>
          <w:b/>
          <w:bCs w:val="0"/>
          <w:sz w:val="28"/>
          <w:szCs w:val="28"/>
          <w:lang w:val="en-US" w:eastAsia="zh-CN"/>
        </w:rPr>
        <w:t>联系人：</w:t>
      </w:r>
      <w:r>
        <w:rPr>
          <w:rFonts w:hint="eastAsia" w:ascii="仿宋_GB2312" w:eastAsia="仿宋_GB2312"/>
          <w:sz w:val="28"/>
          <w:szCs w:val="28"/>
          <w:lang w:val="en-US" w:eastAsia="zh-CN"/>
        </w:rPr>
        <w:t xml:space="preserve">盖少飞          </w:t>
      </w:r>
      <w:r>
        <w:rPr>
          <w:rFonts w:hint="eastAsia" w:ascii="宋体" w:hAnsi="宋体" w:eastAsia="宋体" w:cs="宋体"/>
          <w:b/>
          <w:bCs w:val="0"/>
          <w:sz w:val="28"/>
          <w:szCs w:val="28"/>
          <w:lang w:val="en-US" w:eastAsia="zh-CN"/>
        </w:rPr>
        <w:t xml:space="preserve"> 联系电话：</w:t>
      </w:r>
      <w:r>
        <w:rPr>
          <w:rFonts w:hint="eastAsia" w:ascii="仿宋_GB2312" w:eastAsia="仿宋_GB2312"/>
          <w:sz w:val="28"/>
          <w:szCs w:val="28"/>
          <w:lang w:val="en-US" w:eastAsia="zh-CN"/>
        </w:rPr>
        <w:t>029-86266574</w:t>
      </w:r>
    </w:p>
    <w:p>
      <w:pPr>
        <w:rPr>
          <w:rStyle w:val="4"/>
          <w:rFonts w:hint="eastAsia" w:ascii="仿宋_GB2312" w:eastAsia="仿宋_GB2312"/>
          <w:sz w:val="28"/>
          <w:szCs w:val="28"/>
          <w:lang w:val="en-US" w:eastAsia="zh-CN"/>
        </w:rPr>
      </w:pPr>
      <w:r>
        <w:rPr>
          <w:rFonts w:hint="eastAsia" w:ascii="宋体" w:hAnsi="宋体" w:eastAsia="宋体" w:cs="宋体"/>
          <w:b/>
          <w:bCs w:val="0"/>
          <w:sz w:val="28"/>
          <w:szCs w:val="28"/>
          <w:lang w:val="en-US" w:eastAsia="zh-CN"/>
        </w:rPr>
        <w:t>简历投递邮箱：</w:t>
      </w:r>
      <w:r>
        <w:rPr>
          <w:rFonts w:hint="eastAsia" w:ascii="仿宋_GB2312" w:eastAsia="仿宋_GB2312"/>
          <w:sz w:val="28"/>
          <w:szCs w:val="28"/>
          <w:lang w:val="en-US" w:eastAsia="zh-CN"/>
        </w:rPr>
        <w:fldChar w:fldCharType="begin"/>
      </w:r>
      <w:r>
        <w:rPr>
          <w:rFonts w:hint="eastAsia" w:ascii="仿宋_GB2312" w:eastAsia="仿宋_GB2312"/>
          <w:sz w:val="28"/>
          <w:szCs w:val="28"/>
          <w:lang w:val="en-US" w:eastAsia="zh-CN"/>
        </w:rPr>
        <w:instrText xml:space="preserve"> HYPERLINK "mailto:zhaopin@c-nin.com" </w:instrText>
      </w:r>
      <w:r>
        <w:rPr>
          <w:rFonts w:hint="eastAsia" w:ascii="仿宋_GB2312" w:eastAsia="仿宋_GB2312"/>
          <w:sz w:val="28"/>
          <w:szCs w:val="28"/>
          <w:lang w:val="en-US" w:eastAsia="zh-CN"/>
        </w:rPr>
        <w:fldChar w:fldCharType="separate"/>
      </w:r>
      <w:r>
        <w:rPr>
          <w:rStyle w:val="4"/>
          <w:rFonts w:hint="eastAsia" w:ascii="仿宋_GB2312" w:eastAsia="仿宋_GB2312"/>
          <w:sz w:val="28"/>
          <w:szCs w:val="28"/>
          <w:lang w:val="en-US" w:eastAsia="zh-CN"/>
        </w:rPr>
        <w:t>zhaopin@c-nin.com</w:t>
      </w:r>
    </w:p>
    <w:p>
      <w:pPr>
        <w:rPr>
          <w:rStyle w:val="4"/>
          <w:rFonts w:hint="eastAsia" w:ascii="仿宋_GB2312" w:eastAsia="仿宋_GB2312"/>
          <w:sz w:val="28"/>
          <w:szCs w:val="28"/>
          <w:lang w:val="en-US" w:eastAsia="zh-CN"/>
        </w:rPr>
      </w:pPr>
    </w:p>
    <w:p>
      <w:pPr>
        <w:jc w:val="center"/>
        <w:rPr>
          <w:rFonts w:hint="eastAsia" w:ascii="仿宋_GB2312" w:eastAsia="仿宋_GB2312"/>
          <w:sz w:val="28"/>
          <w:szCs w:val="28"/>
          <w:lang w:val="en-US" w:eastAsia="zh-CN"/>
        </w:rPr>
      </w:pPr>
      <w:r>
        <w:rPr>
          <w:rFonts w:hint="eastAsia"/>
          <w:sz w:val="24"/>
        </w:rPr>
        <w:drawing>
          <wp:inline distT="0" distB="0" distL="0" distR="0">
            <wp:extent cx="2575560" cy="2575560"/>
            <wp:effectExtent l="0" t="0" r="15240" b="15240"/>
            <wp:docPr id="1" name="图片 0" descr="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二维码.JPG"/>
                    <pic:cNvPicPr>
                      <a:picLocks noChangeAspect="1"/>
                    </pic:cNvPicPr>
                  </pic:nvPicPr>
                  <pic:blipFill>
                    <a:blip r:embed="rId4"/>
                    <a:stretch>
                      <a:fillRect/>
                    </a:stretch>
                  </pic:blipFill>
                  <pic:spPr>
                    <a:xfrm>
                      <a:off x="0" y="0"/>
                      <a:ext cx="2575560" cy="2575560"/>
                    </a:xfrm>
                    <a:prstGeom prst="rect">
                      <a:avLst/>
                    </a:prstGeom>
                  </pic:spPr>
                </pic:pic>
              </a:graphicData>
            </a:graphic>
          </wp:inline>
        </w:drawing>
      </w:r>
      <w:r>
        <w:rPr>
          <w:rStyle w:val="4"/>
          <w:rFonts w:hint="eastAsia" w:ascii="仿宋_GB2312" w:eastAsia="仿宋_GB2312"/>
          <w:sz w:val="28"/>
          <w:szCs w:val="28"/>
          <w:lang w:val="en-US" w:eastAsia="zh-CN"/>
        </w:rPr>
        <w:br w:type="page"/>
      </w:r>
      <w:r>
        <w:rPr>
          <w:rFonts w:hint="eastAsia" w:ascii="仿宋_GB2312" w:eastAsia="仿宋_GB2312"/>
          <w:sz w:val="28"/>
          <w:szCs w:val="28"/>
          <w:lang w:val="en-US" w:eastAsia="zh-CN"/>
        </w:rPr>
        <w:fldChar w:fldCharType="end"/>
      </w:r>
    </w:p>
    <w:p>
      <w:pPr>
        <w:ind w:firstLine="420"/>
        <w:jc w:val="center"/>
        <w:rPr>
          <w:rFonts w:hint="eastAsia" w:ascii="仿宋_GB2312" w:eastAsia="仿宋_GB2312"/>
          <w:b/>
          <w:bCs/>
          <w:sz w:val="30"/>
          <w:szCs w:val="30"/>
          <w:lang w:val="en-US" w:eastAsia="zh-CN"/>
        </w:rPr>
      </w:pPr>
      <w:r>
        <w:rPr>
          <w:rFonts w:hint="eastAsia" w:ascii="仿宋_GB2312" w:eastAsia="仿宋_GB2312"/>
          <w:b/>
          <w:bCs/>
          <w:sz w:val="30"/>
          <w:szCs w:val="30"/>
          <w:lang w:val="en-US" w:eastAsia="zh-CN"/>
        </w:rPr>
        <w:t>西北有色金属研究院2019年度校园招聘汇总</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480" w:firstLineChars="200"/>
        <w:textAlignment w:val="auto"/>
        <w:outlineLvl w:val="9"/>
        <w:rPr>
          <w:rFonts w:hint="eastAsia" w:ascii="宋体" w:hAnsi="宋体" w:eastAsia="宋体" w:cs="宋体"/>
          <w:sz w:val="24"/>
          <w:szCs w:val="24"/>
          <w:lang w:val="en-US" w:eastAsia="zh-CN"/>
        </w:rPr>
      </w:pPr>
    </w:p>
    <w:tbl>
      <w:tblPr>
        <w:tblW w:w="9704" w:type="dxa"/>
        <w:jc w:val="center"/>
        <w:tblInd w:w="-68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106"/>
        <w:gridCol w:w="975"/>
        <w:gridCol w:w="795"/>
        <w:gridCol w:w="764"/>
        <w:gridCol w:w="825"/>
        <w:gridCol w:w="795"/>
        <w:gridCol w:w="24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6"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华文细黑" w:hAnsi="华文细黑" w:eastAsia="华文细黑" w:cs="华文细黑"/>
                <w:b/>
                <w:bCs/>
                <w:i w:val="0"/>
                <w:color w:val="000000"/>
                <w:sz w:val="24"/>
                <w:szCs w:val="24"/>
                <w:u w:val="none"/>
              </w:rPr>
            </w:pPr>
            <w:r>
              <w:rPr>
                <w:rFonts w:hint="default" w:ascii="华文细黑" w:hAnsi="华文细黑" w:eastAsia="华文细黑" w:cs="华文细黑"/>
                <w:b/>
                <w:bCs/>
                <w:i w:val="0"/>
                <w:color w:val="000000"/>
                <w:kern w:val="0"/>
                <w:sz w:val="24"/>
                <w:szCs w:val="24"/>
                <w:u w:val="none"/>
                <w:lang w:val="en-US" w:eastAsia="zh-CN" w:bidi="ar"/>
              </w:rPr>
              <w:t>需求专业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华文细黑" w:hAnsi="华文细黑" w:eastAsia="华文细黑" w:cs="华文细黑"/>
                <w:b/>
                <w:bCs/>
                <w:i w:val="0"/>
                <w:color w:val="000000"/>
                <w:sz w:val="24"/>
                <w:szCs w:val="24"/>
                <w:u w:val="none"/>
              </w:rPr>
            </w:pPr>
            <w:r>
              <w:rPr>
                <w:rFonts w:hint="default" w:ascii="华文细黑" w:hAnsi="华文细黑" w:eastAsia="华文细黑" w:cs="华文细黑"/>
                <w:b/>
                <w:bCs/>
                <w:i w:val="0"/>
                <w:color w:val="000000"/>
                <w:kern w:val="0"/>
                <w:sz w:val="24"/>
                <w:szCs w:val="24"/>
                <w:u w:val="none"/>
                <w:lang w:val="en-US" w:eastAsia="zh-CN" w:bidi="ar"/>
              </w:rPr>
              <w:t>博士</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华文细黑" w:hAnsi="华文细黑" w:eastAsia="华文细黑" w:cs="华文细黑"/>
                <w:b/>
                <w:bCs/>
                <w:i w:val="0"/>
                <w:color w:val="000000"/>
                <w:sz w:val="24"/>
                <w:szCs w:val="24"/>
                <w:u w:val="none"/>
              </w:rPr>
            </w:pPr>
            <w:r>
              <w:rPr>
                <w:rFonts w:hint="default" w:ascii="华文细黑" w:hAnsi="华文细黑" w:eastAsia="华文细黑" w:cs="华文细黑"/>
                <w:b/>
                <w:bCs/>
                <w:i w:val="0"/>
                <w:color w:val="000000"/>
                <w:kern w:val="0"/>
                <w:sz w:val="24"/>
                <w:szCs w:val="24"/>
                <w:u w:val="none"/>
                <w:lang w:val="en-US" w:eastAsia="zh-CN" w:bidi="ar"/>
              </w:rPr>
              <w:t>硕士</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华文细黑" w:hAnsi="华文细黑" w:eastAsia="华文细黑" w:cs="华文细黑"/>
                <w:b/>
                <w:bCs/>
                <w:i w:val="0"/>
                <w:color w:val="000000"/>
                <w:sz w:val="24"/>
                <w:szCs w:val="24"/>
                <w:u w:val="none"/>
              </w:rPr>
            </w:pPr>
            <w:r>
              <w:rPr>
                <w:rFonts w:hint="default" w:ascii="华文细黑" w:hAnsi="华文细黑" w:eastAsia="华文细黑" w:cs="华文细黑"/>
                <w:b/>
                <w:bCs/>
                <w:i w:val="0"/>
                <w:color w:val="000000"/>
                <w:kern w:val="0"/>
                <w:sz w:val="24"/>
                <w:szCs w:val="24"/>
                <w:u w:val="none"/>
                <w:lang w:val="en-US" w:eastAsia="zh-CN" w:bidi="ar"/>
              </w:rPr>
              <w:t>本科</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华文细黑" w:hAnsi="华文细黑" w:eastAsia="华文细黑" w:cs="华文细黑"/>
                <w:b/>
                <w:bCs/>
                <w:i w:val="0"/>
                <w:color w:val="000000"/>
                <w:sz w:val="24"/>
                <w:szCs w:val="24"/>
                <w:u w:val="none"/>
              </w:rPr>
            </w:pPr>
            <w:r>
              <w:rPr>
                <w:rFonts w:hint="default" w:ascii="华文细黑" w:hAnsi="华文细黑" w:eastAsia="华文细黑" w:cs="华文细黑"/>
                <w:b/>
                <w:bCs/>
                <w:i w:val="0"/>
                <w:color w:val="000000"/>
                <w:kern w:val="0"/>
                <w:sz w:val="24"/>
                <w:szCs w:val="24"/>
                <w:u w:val="none"/>
                <w:lang w:val="en-US" w:eastAsia="zh-CN" w:bidi="ar"/>
              </w:rPr>
              <w:t>大专</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华文细黑" w:hAnsi="华文细黑" w:eastAsia="华文细黑" w:cs="华文细黑"/>
                <w:b/>
                <w:bCs/>
                <w:i w:val="0"/>
                <w:color w:val="000000"/>
                <w:sz w:val="24"/>
                <w:szCs w:val="24"/>
                <w:u w:val="none"/>
              </w:rPr>
            </w:pPr>
            <w:r>
              <w:rPr>
                <w:rFonts w:hint="default" w:ascii="华文细黑" w:hAnsi="华文细黑" w:eastAsia="华文细黑" w:cs="华文细黑"/>
                <w:b/>
                <w:bCs/>
                <w:i w:val="0"/>
                <w:color w:val="000000"/>
                <w:kern w:val="0"/>
                <w:sz w:val="24"/>
                <w:szCs w:val="24"/>
                <w:u w:val="none"/>
                <w:lang w:val="en-US" w:eastAsia="zh-CN" w:bidi="ar"/>
              </w:rPr>
              <w:t>合计</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华文细黑" w:hAnsi="华文细黑" w:eastAsia="华文细黑" w:cs="华文细黑"/>
                <w:b/>
                <w:bCs/>
                <w:i w:val="0"/>
                <w:color w:val="000000"/>
                <w:sz w:val="24"/>
                <w:szCs w:val="24"/>
                <w:u w:val="none"/>
              </w:rPr>
            </w:pPr>
            <w:r>
              <w:rPr>
                <w:rFonts w:hint="default" w:ascii="华文细黑" w:hAnsi="华文细黑" w:eastAsia="华文细黑" w:cs="华文细黑"/>
                <w:b/>
                <w:bCs/>
                <w:i w:val="0"/>
                <w:color w:val="000000"/>
                <w:kern w:val="0"/>
                <w:sz w:val="24"/>
                <w:szCs w:val="24"/>
                <w:u w:val="none"/>
                <w:lang w:val="en-US" w:eastAsia="zh-CN" w:bidi="ar"/>
              </w:rPr>
              <w:t>使用方向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14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材料学</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4</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金属材料力学/材料计算、金属材料微观结构表征、镁复合材料、钛基复合材料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4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金属材料/材料加工/材料物理</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3</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2</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5</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难熔金属单晶、钨钼、钽铌及其合金材料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4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金属材料学、材料加工工程</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3</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3</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钛合金研发、钛合金精密铸造、焊接方向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4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材料学、材料加工、材料物理化学等</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2</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4</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Bi系材料制备与分析、涂层导体及石墨烯制备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金属材料专业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2</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多孔材料、3D打印研发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4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材料加工/材料学/材料物理化学</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4</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科研岗位：高温抗氧化方向、PVD方向等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48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材料化学</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2</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焊膏、浆料、粘带制备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应用化学专业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1</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电化学方向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60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金属材料/材料加工工程</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3</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3</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轧制工艺技术、熔炼工艺员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5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机械电气工程专业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2</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机电及其自动化、机械电气工程维修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42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冶金或金属材料专业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2</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熔炼、烧结岗位工作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4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机械制造专业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1</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液压维修相关工作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660"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材料学、材料加工、材料物理化学等</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5</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锆合金结构与力学行为及腐蚀行为分析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55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材料学、材料加工、材料物理化学等</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7</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7</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金属材料加工方向、材料表面处理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材料加工工程</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1</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铸造高温合金方向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材料类专业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2</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2</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材料学术期刊英文编辑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其它专业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1</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会议策划执行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情报学</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1</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竞争情报研究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化学、化工专业</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6</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6</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设备操作工程师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jc w:val="center"/>
        </w:trPr>
        <w:tc>
          <w:tcPr>
            <w:tcW w:w="310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机械制造与自动化、数控加工</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7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Theme="majorEastAsia" w:hAnsiTheme="majorEastAsia" w:eastAsiaTheme="majorEastAsia" w:cstheme="majorEastAsia"/>
                <w:i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24"/>
                <w:szCs w:val="24"/>
                <w:u w:val="none"/>
              </w:rPr>
            </w:pPr>
            <w:r>
              <w:rPr>
                <w:rFonts w:hint="eastAsia" w:asciiTheme="majorEastAsia" w:hAnsiTheme="majorEastAsia" w:eastAsiaTheme="majorEastAsia" w:cstheme="majorEastAsia"/>
                <w:b/>
                <w:i w:val="0"/>
                <w:color w:val="000000"/>
                <w:kern w:val="0"/>
                <w:sz w:val="24"/>
                <w:szCs w:val="24"/>
                <w:u w:val="none"/>
                <w:lang w:val="en-US" w:eastAsia="zh-CN" w:bidi="ar"/>
              </w:rPr>
              <w:t>10</w:t>
            </w:r>
          </w:p>
        </w:tc>
        <w:tc>
          <w:tcPr>
            <w:tcW w:w="24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24"/>
                <w:szCs w:val="24"/>
                <w:u w:val="none"/>
              </w:rPr>
            </w:pPr>
            <w:r>
              <w:rPr>
                <w:rFonts w:hint="eastAsia" w:asciiTheme="majorEastAsia" w:hAnsiTheme="majorEastAsia" w:eastAsiaTheme="majorEastAsia" w:cstheme="majorEastAsia"/>
                <w:i w:val="0"/>
                <w:color w:val="000000"/>
                <w:kern w:val="0"/>
                <w:sz w:val="24"/>
                <w:szCs w:val="24"/>
                <w:u w:val="none"/>
                <w:lang w:val="en-US" w:eastAsia="zh-CN" w:bidi="ar"/>
              </w:rPr>
              <w:t>机加操作工</w:t>
            </w:r>
          </w:p>
        </w:tc>
      </w:tr>
    </w:tbl>
    <w:p>
      <w:pPr>
        <w:spacing w:line="360" w:lineRule="auto"/>
        <w:rPr>
          <w:rFonts w:hint="eastAsia"/>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E6B"/>
    <w:rsid w:val="003A643B"/>
    <w:rsid w:val="00493E6B"/>
    <w:rsid w:val="0051451A"/>
    <w:rsid w:val="00546162"/>
    <w:rsid w:val="00BB2C92"/>
    <w:rsid w:val="0CE5181F"/>
    <w:rsid w:val="10445148"/>
    <w:rsid w:val="15872412"/>
    <w:rsid w:val="24165A61"/>
    <w:rsid w:val="25C108FA"/>
    <w:rsid w:val="26C016D0"/>
    <w:rsid w:val="2B3E1F90"/>
    <w:rsid w:val="2D09353F"/>
    <w:rsid w:val="2D644EAE"/>
    <w:rsid w:val="319F6717"/>
    <w:rsid w:val="4B583562"/>
    <w:rsid w:val="4BD76297"/>
    <w:rsid w:val="4D024773"/>
    <w:rsid w:val="59706532"/>
    <w:rsid w:val="5EEB76FE"/>
    <w:rsid w:val="643F336E"/>
    <w:rsid w:val="6B1044A3"/>
    <w:rsid w:val="76E50478"/>
    <w:rsid w:val="7DAF0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qFormat/>
    <w:uiPriority w:val="99"/>
    <w:rPr>
      <w:sz w:val="18"/>
      <w:szCs w:val="18"/>
    </w:rPr>
  </w:style>
  <w:style w:type="character" w:styleId="4">
    <w:name w:val="Hyperlink"/>
    <w:basedOn w:val="3"/>
    <w:semiHidden/>
    <w:unhideWhenUsed/>
    <w:uiPriority w:val="99"/>
    <w:rPr>
      <w:color w:val="0000FF"/>
      <w:u w:val="single"/>
    </w:rPr>
  </w:style>
  <w:style w:type="character" w:customStyle="1" w:styleId="6">
    <w:name w:val="批注框文本 Char"/>
    <w:basedOn w:val="3"/>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131</Words>
  <Characters>748</Characters>
  <Lines>6</Lines>
  <Paragraphs>1</Paragraphs>
  <TotalTime>1</TotalTime>
  <ScaleCrop>false</ScaleCrop>
  <LinksUpToDate>false</LinksUpToDate>
  <CharactersWithSpaces>878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2018-09-07T08:17:00Z</dcterms:created>
  <dc:creator>User</dc:creator>
  <cp:lastModifiedBy>Administrator</cp:lastModifiedBy>
  <dcterms:modified xsi:type="dcterms:W3CDTF">2018-10-11T05:19:17Z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