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textAlignment w:val="center"/>
        <w:rPr>
          <w:rFonts w:ascii="仿宋" w:hAnsi="仿宋" w:eastAsia="仿宋" w:cs="仿宋"/>
          <w:b/>
          <w:bCs/>
          <w:color w:val="000000"/>
          <w:kern w:val="0"/>
          <w:sz w:val="28"/>
          <w:szCs w:val="28"/>
        </w:rPr>
      </w:pPr>
      <w:r>
        <w:rPr>
          <w:rFonts w:hint="eastAsia" w:ascii="仿宋" w:hAnsi="仿宋" w:eastAsia="仿宋" w:cs="仿宋"/>
          <w:b/>
          <w:bCs/>
          <w:color w:val="000000"/>
          <w:kern w:val="0"/>
          <w:sz w:val="36"/>
          <w:szCs w:val="36"/>
        </w:rPr>
        <w:t>中国电建西北院2019年校园招聘简章</w:t>
      </w:r>
    </w:p>
    <w:p>
      <w:pPr>
        <w:widowControl/>
        <w:spacing w:line="400" w:lineRule="exact"/>
        <w:jc w:val="left"/>
        <w:textAlignment w:val="center"/>
        <w:rPr>
          <w:rFonts w:ascii="仿宋" w:hAnsi="仿宋" w:eastAsia="仿宋" w:cs="仿宋"/>
          <w:b/>
          <w:bCs/>
          <w:color w:val="000000"/>
          <w:kern w:val="0"/>
          <w:sz w:val="24"/>
          <w:szCs w:val="24"/>
        </w:rPr>
      </w:pPr>
    </w:p>
    <w:p>
      <w:pPr>
        <w:widowControl/>
        <w:spacing w:beforeLines="50" w:afterLines="50" w:line="400" w:lineRule="exact"/>
        <w:jc w:val="left"/>
        <w:textAlignment w:val="center"/>
        <w:rPr>
          <w:rFonts w:ascii="仿宋" w:hAnsi="仿宋" w:eastAsia="仿宋" w:cs="仿宋"/>
          <w:b/>
          <w:bCs/>
          <w:color w:val="000000"/>
          <w:kern w:val="0"/>
          <w:sz w:val="24"/>
          <w:szCs w:val="24"/>
        </w:rPr>
      </w:pPr>
    </w:p>
    <w:p>
      <w:pPr>
        <w:widowControl/>
        <w:spacing w:beforeLines="50" w:afterLines="50" w:line="400" w:lineRule="exact"/>
        <w:jc w:val="left"/>
        <w:textAlignment w:val="cente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一、企业简况</w:t>
      </w:r>
    </w:p>
    <w:p>
      <w:pPr>
        <w:widowControl/>
        <w:spacing w:line="440" w:lineRule="exact"/>
        <w:ind w:firstLine="480" w:firstLineChars="200"/>
        <w:jc w:val="left"/>
        <w:textAlignment w:val="center"/>
        <w:rPr>
          <w:rFonts w:ascii="仿宋" w:hAnsi="仿宋" w:eastAsia="仿宋" w:cs="仿宋"/>
          <w:color w:val="000000"/>
          <w:kern w:val="0"/>
          <w:sz w:val="24"/>
          <w:szCs w:val="24"/>
        </w:rPr>
      </w:pPr>
      <w:bookmarkStart w:id="0" w:name="_GoBack"/>
      <w:r>
        <w:rPr>
          <w:rFonts w:hint="eastAsia" w:ascii="仿宋" w:hAnsi="仿宋" w:eastAsia="仿宋" w:cs="仿宋"/>
          <w:color w:val="000000"/>
          <w:kern w:val="0"/>
          <w:sz w:val="24"/>
          <w:szCs w:val="24"/>
        </w:rPr>
        <w:t>中国电建集团西北勘测设计研究院有限公司</w:t>
      </w:r>
      <w:bookmarkEnd w:id="0"/>
      <w:r>
        <w:rPr>
          <w:rFonts w:hint="eastAsia" w:ascii="仿宋" w:hAnsi="仿宋" w:eastAsia="仿宋" w:cs="仿宋"/>
          <w:color w:val="000000"/>
          <w:kern w:val="0"/>
          <w:sz w:val="24"/>
          <w:szCs w:val="24"/>
        </w:rPr>
        <w:t>（以下简称“西北院”），成立于1950年，是世界五百强企业——中国电力建设集团（股份）有限公司的成员企业。是我国首批成立的大型综合性勘察设计院，拥有包括工程设计综合甲级资质在内的数十项甲级资质。主营业务方向为清洁能源开发、水生态环境治理、基础设施建设三大领域，是集勘测设计、工程总承包、投资运营于一体的科技型工程公司，具有为政府、客户提供工程整体解决方案的综合能力和国内一流水平。</w:t>
      </w:r>
    </w:p>
    <w:p>
      <w:pPr>
        <w:widowControl/>
        <w:spacing w:line="440" w:lineRule="exact"/>
        <w:ind w:firstLine="480" w:firstLineChars="200"/>
        <w:jc w:val="left"/>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西北院总部设在西安，下设15个专业化运营的二级生产经营主体，其中工程院6个，分子公司9个，市场营销网络覆盖国内各省区和国际20余个国别，在国内重点营销地区设有13个区域营销和办事机构，境外设有13个驻外机构。2017年成功收购了在轨道交通和地下空间工程领域全球知名的意大利吉泰（GEOGATA）公司。拥有各类专业技术人员1979人，具有高级职称人员932人（其中教授级高级工程师386人），国家级高精尖人才共45人，包括国家勘察设计大师1人、国家有突出贡献中青年专家、陕西省工程勘察设计大师、陕西省有突出贡献专家、陕西省优秀勘察设计师等，入选国家级或行业级专家库共400余人。拥有专利技术210项，累计获得省部级以上奖项392项。</w:t>
      </w:r>
    </w:p>
    <w:p>
      <w:pPr>
        <w:widowControl/>
        <w:tabs>
          <w:tab w:val="right" w:pos="8306"/>
        </w:tabs>
        <w:spacing w:line="440" w:lineRule="exact"/>
        <w:ind w:firstLine="480" w:firstLineChars="200"/>
        <w:jc w:val="left"/>
        <w:textAlignment w:val="center"/>
        <w:rPr>
          <w:rFonts w:ascii="仿宋" w:hAnsi="仿宋" w:eastAsia="仿宋" w:cs="仿宋"/>
          <w:b/>
          <w:bCs/>
          <w:color w:val="000000"/>
          <w:kern w:val="0"/>
          <w:sz w:val="24"/>
          <w:szCs w:val="24"/>
        </w:rPr>
      </w:pPr>
      <w:r>
        <w:rPr>
          <w:rFonts w:ascii="仿宋" w:hAnsi="仿宋" w:eastAsia="仿宋" w:cs="仿宋"/>
          <w:color w:val="000000"/>
          <w:kern w:val="0"/>
          <w:sz w:val="24"/>
          <w:szCs w:val="24"/>
        </w:rPr>
        <w:tab/>
      </w:r>
    </w:p>
    <w:p>
      <w:pPr>
        <w:widowControl/>
        <w:spacing w:line="400" w:lineRule="exact"/>
        <w:jc w:val="left"/>
        <w:textAlignment w:val="center"/>
        <w:rPr>
          <w:rFonts w:ascii="仿宋" w:hAnsi="仿宋" w:eastAsia="仿宋" w:cs="仿宋"/>
          <w:b/>
          <w:bCs/>
          <w:color w:val="000000"/>
          <w:kern w:val="0"/>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000000"/>
          <w:kern w:val="0"/>
          <w:sz w:val="24"/>
          <w:szCs w:val="24"/>
        </w:rPr>
        <w:t>二、招聘计划</w:t>
      </w:r>
    </w:p>
    <w:tbl>
      <w:tblPr>
        <w:tblStyle w:val="8"/>
        <w:tblW w:w="9255" w:type="dxa"/>
        <w:jc w:val="center"/>
        <w:tblInd w:w="0" w:type="dxa"/>
        <w:tblLayout w:type="fixed"/>
        <w:tblCellMar>
          <w:top w:w="15" w:type="dxa"/>
          <w:left w:w="15" w:type="dxa"/>
          <w:bottom w:w="15" w:type="dxa"/>
          <w:right w:w="15" w:type="dxa"/>
        </w:tblCellMar>
      </w:tblPr>
      <w:tblGrid>
        <w:gridCol w:w="1433"/>
        <w:gridCol w:w="6420"/>
        <w:gridCol w:w="1402"/>
      </w:tblGrid>
      <w:tr>
        <w:tblPrEx>
          <w:tblLayout w:type="fixed"/>
          <w:tblCellMar>
            <w:top w:w="15" w:type="dxa"/>
            <w:left w:w="15" w:type="dxa"/>
            <w:bottom w:w="15" w:type="dxa"/>
            <w:right w:w="15" w:type="dxa"/>
          </w:tblCellMar>
        </w:tblPrEx>
        <w:trPr>
          <w:trHeight w:val="442" w:hRule="atLeast"/>
          <w:jc w:val="center"/>
        </w:trPr>
        <w:tc>
          <w:tcPr>
            <w:tcW w:w="9255" w:type="dxa"/>
            <w:gridSpan w:val="3"/>
            <w:tcBorders>
              <w:top w:val="single" w:color="FFFFFF" w:themeColor="background1" w:sz="4" w:space="0"/>
              <w:left w:val="single" w:color="FFFFFF" w:themeColor="background1" w:sz="4" w:space="0"/>
              <w:bottom w:val="single" w:color="000000" w:themeColor="text1" w:sz="4" w:space="0"/>
              <w:right w:val="single" w:color="FFFFFF" w:themeColor="background1" w:sz="4" w:space="0"/>
            </w:tcBorders>
            <w:shd w:val="clear" w:color="auto" w:fill="auto"/>
            <w:vAlign w:val="center"/>
          </w:tcPr>
          <w:p>
            <w:pPr>
              <w:widowControl/>
              <w:textAlignment w:val="center"/>
              <w:rPr>
                <w:rFonts w:ascii="宋体" w:hAnsi="宋体" w:eastAsia="宋体" w:cs="宋体"/>
                <w:b/>
                <w:color w:val="000000"/>
                <w:kern w:val="0"/>
                <w:szCs w:val="21"/>
              </w:rPr>
            </w:pPr>
          </w:p>
        </w:tc>
      </w:tr>
      <w:tr>
        <w:tblPrEx>
          <w:tblLayout w:type="fixed"/>
          <w:tblCellMar>
            <w:top w:w="15" w:type="dxa"/>
            <w:left w:w="15" w:type="dxa"/>
            <w:bottom w:w="15" w:type="dxa"/>
            <w:right w:w="15" w:type="dxa"/>
          </w:tblCellMar>
        </w:tblPrEx>
        <w:trPr>
          <w:trHeight w:val="690" w:hRule="atLeast"/>
          <w:jc w:val="center"/>
        </w:trPr>
        <w:tc>
          <w:tcPr>
            <w:tcW w:w="1433" w:type="dxa"/>
            <w:tcBorders>
              <w:top w:val="single" w:color="000000" w:themeColor="text1"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rPr>
              <w:t>岗位类别</w:t>
            </w:r>
          </w:p>
        </w:tc>
        <w:tc>
          <w:tcPr>
            <w:tcW w:w="6420" w:type="dxa"/>
            <w:tcBorders>
              <w:top w:val="single" w:color="000000" w:themeColor="text1"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rPr>
              <w:t>专业要求</w:t>
            </w:r>
          </w:p>
        </w:tc>
        <w:tc>
          <w:tcPr>
            <w:tcW w:w="1402" w:type="dxa"/>
            <w:tcBorders>
              <w:top w:val="single" w:color="000000" w:themeColor="text1"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rPr>
              <w:t>学历要求</w:t>
            </w:r>
          </w:p>
        </w:tc>
      </w:tr>
      <w:tr>
        <w:tblPrEx>
          <w:tblLayout w:type="fixed"/>
          <w:tblCellMar>
            <w:top w:w="15" w:type="dxa"/>
            <w:left w:w="15" w:type="dxa"/>
            <w:bottom w:w="15" w:type="dxa"/>
            <w:right w:w="15" w:type="dxa"/>
          </w:tblCellMar>
        </w:tblPrEx>
        <w:trPr>
          <w:trHeight w:val="75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职能管理类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企业管理、人力资源管理、工程经济类、会计学、财务管理、法学、工程项目管理等专业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75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信息化管理类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计算机科学与技术、软件工程、网络工程、通信工程、图书情报与档案管理、信息资源管理等专业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24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规划设计类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热能与动力工程（汽轮机）</w:t>
            </w:r>
            <w:r>
              <w:rPr>
                <w:rFonts w:hint="eastAsia" w:ascii="宋体" w:hAnsi="宋体" w:eastAsia="宋体" w:cs="宋体"/>
                <w:b/>
                <w:color w:val="000000"/>
                <w:kern w:val="0"/>
                <w:szCs w:val="21"/>
              </w:rPr>
              <w:t>博士</w:t>
            </w:r>
            <w:r>
              <w:rPr>
                <w:rFonts w:ascii="font-weight : 400" w:hAnsi="font-weight : 400" w:eastAsia="font-weight : 400" w:cs="font-weight : 400"/>
                <w:color w:val="000000"/>
                <w:kern w:val="0"/>
                <w:szCs w:val="21"/>
              </w:rPr>
              <w:t>、过程装备与控制工程</w:t>
            </w:r>
            <w:r>
              <w:rPr>
                <w:rFonts w:hint="eastAsia" w:ascii="宋体" w:hAnsi="宋体" w:eastAsia="宋体" w:cs="宋体"/>
                <w:b/>
                <w:color w:val="000000"/>
                <w:kern w:val="0"/>
                <w:szCs w:val="21"/>
              </w:rPr>
              <w:t>博士</w:t>
            </w:r>
            <w:r>
              <w:rPr>
                <w:rFonts w:ascii="font-weight : 400" w:hAnsi="font-weight : 400" w:eastAsia="font-weight : 400" w:cs="font-weight : 400"/>
                <w:color w:val="000000"/>
                <w:kern w:val="0"/>
                <w:szCs w:val="21"/>
              </w:rPr>
              <w:t>、经济学（区域、产业规划）</w:t>
            </w:r>
            <w:r>
              <w:rPr>
                <w:rFonts w:hint="eastAsia" w:ascii="宋体" w:hAnsi="宋体" w:eastAsia="宋体" w:cs="宋体"/>
                <w:b/>
                <w:color w:val="000000"/>
                <w:kern w:val="0"/>
                <w:szCs w:val="21"/>
              </w:rPr>
              <w:t>博士</w:t>
            </w:r>
            <w:r>
              <w:rPr>
                <w:rFonts w:ascii="font-weight : 400" w:hAnsi="font-weight : 400" w:eastAsia="font-weight : 400" w:cs="font-weight : 400"/>
                <w:color w:val="000000"/>
                <w:kern w:val="0"/>
                <w:szCs w:val="21"/>
              </w:rPr>
              <w:br w:type="textWrapping"/>
            </w:r>
            <w:r>
              <w:rPr>
                <w:rFonts w:ascii="font-weight : 400" w:hAnsi="font-weight : 400" w:eastAsia="font-weight : 400" w:cs="font-weight : 400"/>
                <w:color w:val="000000"/>
                <w:kern w:val="0"/>
                <w:szCs w:val="21"/>
              </w:rPr>
              <w:t>城乡规划、风景园林学、园艺学、地理信息系统、软件工程、工程管理（工程经济）、工程管理（施工组织设计）、市政工程（给排水）、道路专业、桥梁专业、交通规划专业、岩土工程、水利水电（水工结构）工程、土地资源管理、农业水利工程、机械设计（金属结构）、热能与动力工程（水利机械）、电力系统及自动化、水文水资源（水环境、水生态）、材料科学与工程（建筑垃圾利用）、环境工程（固废利用）、环境科学与工程（土壤与地下水修复）、环境生态工程、总图设计与工业运输、工业过程控制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工程勘测类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水文与工程地质、勘查技术与工程、水文与水资源、岩土工程、测绘工程、土木工程、材料科学与工程（公路材料试验检测）等专业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国际工程类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法语、葡萄牙语、工商管理、市场营销、热能与动力工程（水力机械）、机械设计（金属结构）、电气工程及其自动化（继电保护）、供热供燃气通风及空调工程、工程经济、水文与水资源等专业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总承包管理类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工程管理（工程经济）、土木工程类（道路、桥梁、工民建）、风景园林学、电气工程及其自动化、环境工程、水利水电工程等专业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工程监理咨询类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水利水电工程、土木工程类（道路、桥梁、工民建）、工程管理、工程经济、电气工程及其自动化、热能与动力工程（水利机械）、地质工程、测绘工程、焊接技术与工程、无机非金属材料工程、安全工程、环境工程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本科及以上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工程施工管理类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测绘工程、土木工程类（道路、桥梁、工民建）、电气工程及其自动化、市政工程、安全工程、工程管理（工程经济）、计算机科学与技术（网络）、法学等专业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本科及以上</w:t>
            </w:r>
          </w:p>
        </w:tc>
      </w:tr>
      <w:tr>
        <w:tblPrEx>
          <w:tblLayout w:type="fixed"/>
          <w:tblCellMar>
            <w:top w:w="15" w:type="dxa"/>
            <w:left w:w="15" w:type="dxa"/>
            <w:bottom w:w="15" w:type="dxa"/>
            <w:right w:w="15" w:type="dxa"/>
          </w:tblCellMar>
        </w:tblPrEx>
        <w:trPr>
          <w:trHeight w:val="842"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港航建设及船舶制造类</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岩土工程、无机非金属材料工程、工程管理（工程经济）、机械设计、船舶设计（流体力学）、会计学、法学等专业</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r>
        <w:tblPrEx>
          <w:tblLayout w:type="fixed"/>
          <w:tblCellMar>
            <w:top w:w="15" w:type="dxa"/>
            <w:left w:w="15" w:type="dxa"/>
            <w:bottom w:w="15" w:type="dxa"/>
            <w:right w:w="15" w:type="dxa"/>
          </w:tblCellMar>
        </w:tblPrEx>
        <w:trPr>
          <w:trHeight w:val="990" w:hRule="atLeast"/>
          <w:jc w:val="center"/>
        </w:trPr>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Foreign students study in China</w:t>
            </w:r>
          </w:p>
        </w:tc>
        <w:tc>
          <w:tcPr>
            <w:tcW w:w="6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University degree in engineering or relative, accounting, finance or management.</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硕士及以上</w:t>
            </w:r>
          </w:p>
        </w:tc>
      </w:tr>
    </w:tbl>
    <w:p>
      <w:pPr>
        <w:widowControl/>
        <w:numPr>
          <w:ilvl w:val="0"/>
          <w:numId w:val="1"/>
        </w:numPr>
        <w:spacing w:line="400" w:lineRule="exact"/>
        <w:jc w:val="left"/>
        <w:textAlignment w:val="center"/>
        <w:rPr>
          <w:rFonts w:ascii="仿宋" w:hAnsi="仿宋" w:eastAsia="仿宋" w:cs="仿宋"/>
          <w:b/>
          <w:bCs/>
          <w:color w:val="000000"/>
          <w:kern w:val="0"/>
          <w:sz w:val="24"/>
          <w:szCs w:val="24"/>
        </w:rPr>
        <w:sectPr>
          <w:pgSz w:w="11906" w:h="16838"/>
          <w:pgMar w:top="1440" w:right="1800" w:bottom="1440" w:left="1800" w:header="851" w:footer="992" w:gutter="0"/>
          <w:cols w:space="425" w:num="1"/>
          <w:docGrid w:type="lines" w:linePitch="312" w:charSpace="0"/>
        </w:sectPr>
      </w:pPr>
    </w:p>
    <w:p>
      <w:pPr>
        <w:widowControl/>
        <w:spacing w:line="400" w:lineRule="exact"/>
        <w:jc w:val="left"/>
        <w:textAlignment w:val="center"/>
        <w:rPr>
          <w:rFonts w:ascii="仿宋" w:hAnsi="仿宋" w:eastAsia="仿宋" w:cs="仿宋"/>
          <w:b/>
          <w:bCs/>
          <w:color w:val="000000"/>
          <w:kern w:val="0"/>
          <w:sz w:val="24"/>
          <w:szCs w:val="24"/>
        </w:rPr>
      </w:pPr>
    </w:p>
    <w:tbl>
      <w:tblPr>
        <w:tblStyle w:val="8"/>
        <w:tblW w:w="8613" w:type="dxa"/>
        <w:tblInd w:w="0" w:type="dxa"/>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
      <w:tblGrid>
        <w:gridCol w:w="871"/>
        <w:gridCol w:w="3876"/>
        <w:gridCol w:w="2799"/>
        <w:gridCol w:w="1067"/>
      </w:tblGrid>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rPr>
          <w:trHeight w:val="426" w:hRule="atLeast"/>
        </w:trPr>
        <w:tc>
          <w:tcPr>
            <w:tcW w:w="8613" w:type="dxa"/>
            <w:gridSpan w:val="4"/>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pStyle w:val="2"/>
              <w:widowControl/>
              <w:spacing w:before="0" w:after="0" w:line="17" w:lineRule="atLeast"/>
              <w:jc w:val="center"/>
              <w:rPr>
                <w:rFonts w:ascii="宋体" w:hAnsi="宋体" w:eastAsia="宋体" w:cs="宋体"/>
                <w:color w:val="333333"/>
                <w:sz w:val="21"/>
                <w:szCs w:val="21"/>
              </w:rPr>
            </w:pPr>
            <w:r>
              <w:rPr>
                <w:rFonts w:hint="eastAsia" w:ascii="宋体" w:hAnsi="宋体" w:eastAsia="宋体" w:cs="宋体"/>
                <w:color w:val="333333"/>
                <w:sz w:val="21"/>
                <w:szCs w:val="21"/>
              </w:rPr>
              <w:t>博士后科研课题立项情况一览表</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rPr>
          <w:trHeight w:val="304" w:hRule="atLeast"/>
        </w:trPr>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序号</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博士后科研课题名称</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拟招专业方向</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拟招人数</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rPr>
          <w:trHeight w:val="288" w:hRule="atLeast"/>
        </w:trPr>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集团战略发展和管控模式研究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管理科学与工程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2</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区域市场发展战略与规划研究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技术经济及管理</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3</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勘测设计企业向工程公司转型中的考核激励机制研究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企业管理</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4</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工程公司核心人才关键素质模型构建及影响机理研究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人力资源管理</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5</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300m级砂砾石面板堆石坝筑坝关键技术研究与工程应用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水工结构、岩土工程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6</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智能化风电场关键技术研究及应用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电力系统及其自动化</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7</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深远海风电场漂浮式结构关键技术研究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结构工程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8</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塔式光热电站系统子系统间的匹配优化研究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控制工程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9</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基于新能源电力消纳的新型储能方式研究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材料科学与工程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10</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城市垃圾能源化综合利用技术研究与应用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环境工程、无机非金属材料</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11</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城市供水水库清淤技术研究与工程应用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环境工程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12</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矿区污染土壤治理修复技术研究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土壤化学</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13</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园区终端一体化供能关键技术研究与智慧供能系统研发</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暖通空调、热能与动力工程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14</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海绵城市建设关键技术研究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水文水资源、给水排水工程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15</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深V峡谷大跨度钢箱拱拱桥关键技术研究及工程应用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桥梁工程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16</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滨岸水土保持、生态修复与重建关键技术研究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水土保持、环境水力学</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17</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多种能源配套开发规划设计及联合运行技术与送电稳定性研究</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电力系统及其自动化</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1人</w:t>
            </w:r>
          </w:p>
        </w:tc>
      </w:tr>
      <w:tr>
        <w:tblPrEx>
          <w:tblBorders>
            <w:top w:val="single" w:color="888888" w:sz="4" w:space="0"/>
            <w:left w:val="single" w:color="888888" w:sz="4" w:space="0"/>
            <w:bottom w:val="single" w:color="888888" w:sz="4" w:space="0"/>
            <w:right w:val="single" w:color="888888" w:sz="4" w:space="0"/>
            <w:insideH w:val="none" w:color="auto" w:sz="0" w:space="0"/>
            <w:insideV w:val="none" w:color="auto" w:sz="0" w:space="0"/>
          </w:tblBorders>
          <w:tblLayout w:type="fixed"/>
          <w:tblCellMar>
            <w:top w:w="15" w:type="dxa"/>
            <w:left w:w="15" w:type="dxa"/>
            <w:bottom w:w="15" w:type="dxa"/>
            <w:right w:w="15" w:type="dxa"/>
          </w:tblCellMar>
        </w:tblPrEx>
        <w:trPr>
          <w:trHeight w:val="96" w:hRule="atLeast"/>
        </w:trPr>
        <w:tc>
          <w:tcPr>
            <w:tcW w:w="871"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18</w:t>
            </w:r>
          </w:p>
        </w:tc>
        <w:tc>
          <w:tcPr>
            <w:tcW w:w="3876"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left"/>
              <w:rPr>
                <w:rFonts w:ascii="宋体" w:hAnsi="宋体" w:eastAsia="宋体" w:cs="宋体"/>
                <w:color w:val="333333"/>
                <w:szCs w:val="21"/>
              </w:rPr>
            </w:pPr>
            <w:r>
              <w:rPr>
                <w:rFonts w:hint="eastAsia" w:ascii="宋体" w:hAnsi="宋体" w:eastAsia="宋体" w:cs="宋体"/>
                <w:color w:val="333333"/>
                <w:kern w:val="0"/>
                <w:szCs w:val="21"/>
              </w:rPr>
              <w:t>挡土墙墙背土压力分布研究及工程应用</w:t>
            </w:r>
          </w:p>
        </w:tc>
        <w:tc>
          <w:tcPr>
            <w:tcW w:w="2799"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结构工程、岩土工程</w:t>
            </w:r>
          </w:p>
        </w:tc>
        <w:tc>
          <w:tcPr>
            <w:tcW w:w="1067" w:type="dxa"/>
            <w:tcBorders>
              <w:top w:val="single" w:color="000000" w:sz="4" w:space="0"/>
              <w:left w:val="single" w:color="000000" w:sz="4" w:space="0"/>
              <w:bottom w:val="single" w:color="000000" w:sz="4" w:space="0"/>
              <w:right w:val="single" w:color="000000" w:sz="4" w:space="0"/>
            </w:tcBorders>
            <w:tcMar>
              <w:top w:w="60" w:type="dxa"/>
              <w:left w:w="180" w:type="dxa"/>
              <w:bottom w:w="60" w:type="dxa"/>
              <w:right w:w="180" w:type="dxa"/>
            </w:tcMar>
            <w:vAlign w:val="center"/>
          </w:tcPr>
          <w:p>
            <w:pPr>
              <w:widowControl/>
              <w:spacing w:line="17" w:lineRule="atLeast"/>
              <w:jc w:val="center"/>
              <w:rPr>
                <w:rFonts w:ascii="宋体" w:hAnsi="宋体" w:eastAsia="宋体" w:cs="宋体"/>
                <w:color w:val="333333"/>
                <w:szCs w:val="21"/>
              </w:rPr>
            </w:pPr>
            <w:r>
              <w:rPr>
                <w:rFonts w:hint="eastAsia" w:ascii="宋体" w:hAnsi="宋体" w:eastAsia="宋体" w:cs="宋体"/>
                <w:color w:val="333333"/>
                <w:kern w:val="0"/>
                <w:szCs w:val="21"/>
              </w:rPr>
              <w:t>各1人</w:t>
            </w:r>
          </w:p>
        </w:tc>
      </w:tr>
    </w:tbl>
    <w:p>
      <w:pPr>
        <w:widowControl/>
        <w:spacing w:line="400" w:lineRule="exact"/>
        <w:jc w:val="left"/>
        <w:textAlignment w:val="center"/>
        <w:rPr>
          <w:rFonts w:ascii="仿宋" w:hAnsi="仿宋" w:eastAsia="仿宋" w:cs="仿宋"/>
          <w:b/>
          <w:bCs/>
          <w:color w:val="000000"/>
          <w:kern w:val="0"/>
          <w:sz w:val="24"/>
          <w:szCs w:val="24"/>
        </w:rPr>
      </w:pPr>
      <w:r>
        <w:rPr>
          <w:rFonts w:hint="eastAsia" w:ascii="仿宋" w:hAnsi="仿宋" w:eastAsia="仿宋" w:cs="仿宋"/>
          <w:b/>
          <w:bCs/>
          <w:color w:val="000000"/>
          <w:kern w:val="0"/>
          <w:sz w:val="24"/>
          <w:szCs w:val="24"/>
        </w:rPr>
        <w:t>三、联系方式</w:t>
      </w:r>
    </w:p>
    <w:p>
      <w:pPr>
        <w:widowControl/>
        <w:spacing w:line="400" w:lineRule="exact"/>
        <w:ind w:firstLine="480" w:firstLineChars="200"/>
        <w:jc w:val="left"/>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有意者请前往公司官网http://zp.nwh.cn/投递简历</w:t>
      </w:r>
    </w:p>
    <w:p>
      <w:pPr>
        <w:widowControl/>
        <w:spacing w:line="400" w:lineRule="exact"/>
        <w:ind w:firstLine="480" w:firstLineChars="200"/>
        <w:jc w:val="left"/>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更多资讯请关注西北院官微（中国电建西北院）：</w:t>
      </w:r>
    </w:p>
    <w:p>
      <w:pPr>
        <w:widowControl/>
        <w:spacing w:line="400" w:lineRule="exact"/>
        <w:ind w:firstLine="480" w:firstLineChars="200"/>
        <w:jc w:val="left"/>
        <w:textAlignment w:val="center"/>
        <w:rPr>
          <w:rFonts w:ascii="仿宋" w:hAnsi="仿宋" w:eastAsia="仿宋" w:cs="仿宋"/>
          <w:color w:val="000000"/>
          <w:kern w:val="0"/>
          <w:sz w:val="24"/>
          <w:szCs w:val="24"/>
        </w:rPr>
      </w:pPr>
      <w:r>
        <w:rPr>
          <w:rFonts w:ascii="仿宋" w:hAnsi="仿宋" w:eastAsia="仿宋"/>
          <w:sz w:val="24"/>
          <w:szCs w:val="24"/>
        </w:rPr>
        <w:drawing>
          <wp:anchor distT="0" distB="0" distL="114300" distR="114300" simplePos="0" relativeHeight="251658240" behindDoc="0" locked="0" layoutInCell="1" allowOverlap="1">
            <wp:simplePos x="0" y="0"/>
            <wp:positionH relativeFrom="column">
              <wp:posOffset>298450</wp:posOffset>
            </wp:positionH>
            <wp:positionV relativeFrom="paragraph">
              <wp:posOffset>120650</wp:posOffset>
            </wp:positionV>
            <wp:extent cx="1207770" cy="1097915"/>
            <wp:effectExtent l="0" t="0" r="11430" b="14605"/>
            <wp:wrapSquare wrapText="bothSides"/>
            <wp:docPr id="17" name="图片 2" descr="D:\ew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D:\ewm.png"/>
                    <pic:cNvPicPr>
                      <a:picLocks noChangeAspect="1" noChangeArrowheads="1"/>
                    </pic:cNvPicPr>
                  </pic:nvPicPr>
                  <pic:blipFill>
                    <a:blip r:embed="rId4"/>
                    <a:srcRect/>
                    <a:stretch>
                      <a:fillRect/>
                    </a:stretch>
                  </pic:blipFill>
                  <pic:spPr>
                    <a:xfrm>
                      <a:off x="0" y="0"/>
                      <a:ext cx="1207770" cy="1097915"/>
                    </a:xfrm>
                    <a:prstGeom prst="rect">
                      <a:avLst/>
                    </a:prstGeom>
                    <a:noFill/>
                    <a:ln w="9525">
                      <a:noFill/>
                      <a:miter lim="800000"/>
                      <a:headEnd/>
                      <a:tailEnd/>
                    </a:ln>
                  </pic:spPr>
                </pic:pic>
              </a:graphicData>
            </a:graphic>
          </wp:anchor>
        </w:drawing>
      </w:r>
    </w:p>
    <w:p>
      <w:pPr>
        <w:ind w:firstLine="640" w:firstLineChars="200"/>
        <w:jc w:val="cente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Adobe 仿宋 Std R"/>
    <w:panose1 w:val="00000000000000000000"/>
    <w:charset w:val="00"/>
    <w:family w:val="auto"/>
    <w:pitch w:val="default"/>
    <w:sig w:usb0="00000000" w:usb1="00000000" w:usb2="00000000" w:usb3="00000000" w:csb0="00040001" w:csb1="00000000"/>
  </w:font>
  <w:font w:name="font-weight : 40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dobe 仿宋 Std R">
    <w:panose1 w:val="02020400000000000000"/>
    <w:charset w:val="86"/>
    <w:family w:val="auto"/>
    <w:pitch w:val="default"/>
    <w:sig w:usb0="00000001" w:usb1="0A0F1810"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67782"/>
    <w:multiLevelType w:val="singleLevel"/>
    <w:tmpl w:val="5B867782"/>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4F9F"/>
    <w:rsid w:val="00172A27"/>
    <w:rsid w:val="00183C00"/>
    <w:rsid w:val="00394666"/>
    <w:rsid w:val="00421085"/>
    <w:rsid w:val="00455A34"/>
    <w:rsid w:val="00576A3C"/>
    <w:rsid w:val="006E3141"/>
    <w:rsid w:val="006E5B2D"/>
    <w:rsid w:val="006E670D"/>
    <w:rsid w:val="00705E1E"/>
    <w:rsid w:val="007A0A64"/>
    <w:rsid w:val="007A6E66"/>
    <w:rsid w:val="008512F7"/>
    <w:rsid w:val="00993B63"/>
    <w:rsid w:val="00A637DD"/>
    <w:rsid w:val="00AB0C36"/>
    <w:rsid w:val="00B532CB"/>
    <w:rsid w:val="00B751E4"/>
    <w:rsid w:val="00C4181C"/>
    <w:rsid w:val="00CD28B4"/>
    <w:rsid w:val="00CF7C89"/>
    <w:rsid w:val="00D10A51"/>
    <w:rsid w:val="00D20F8B"/>
    <w:rsid w:val="00D23361"/>
    <w:rsid w:val="00E247C0"/>
    <w:rsid w:val="00E825D9"/>
    <w:rsid w:val="00E9446B"/>
    <w:rsid w:val="00F04367"/>
    <w:rsid w:val="06EC6B17"/>
    <w:rsid w:val="071B1897"/>
    <w:rsid w:val="0DA90E8D"/>
    <w:rsid w:val="15076CA7"/>
    <w:rsid w:val="18AB4FF8"/>
    <w:rsid w:val="1D2E2D78"/>
    <w:rsid w:val="1E216B1A"/>
    <w:rsid w:val="229B2CC5"/>
    <w:rsid w:val="2B8C1481"/>
    <w:rsid w:val="36647A87"/>
    <w:rsid w:val="3FDB071B"/>
    <w:rsid w:val="40682EEE"/>
    <w:rsid w:val="415A09E9"/>
    <w:rsid w:val="4B52162E"/>
    <w:rsid w:val="53CF5068"/>
    <w:rsid w:val="5CA938DF"/>
    <w:rsid w:val="640258A7"/>
    <w:rsid w:val="64D97D27"/>
    <w:rsid w:val="677145D8"/>
    <w:rsid w:val="6E1D15D8"/>
    <w:rsid w:val="6E34417E"/>
    <w:rsid w:val="6E7E449E"/>
    <w:rsid w:val="78283454"/>
    <w:rsid w:val="7A7574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spacing w:before="240" w:after="120" w:line="13" w:lineRule="atLeast"/>
      <w:jc w:val="left"/>
      <w:outlineLvl w:val="2"/>
    </w:pPr>
    <w:rPr>
      <w:rFonts w:ascii="Helvetica Neue" w:hAnsi="Helvetica Neue" w:eastAsia="Helvetica Neue" w:cs="Times New Roman"/>
      <w:b/>
      <w:kern w:val="0"/>
      <w:sz w:val="28"/>
      <w:szCs w:val="28"/>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rFonts w:asciiTheme="minorHAnsi" w:hAnsiTheme="minorHAnsi" w:eastAsiaTheme="minorEastAsia" w:cstheme="minorBidi"/>
      <w:kern w:val="2"/>
      <w:sz w:val="18"/>
      <w:szCs w:val="18"/>
    </w:rPr>
  </w:style>
  <w:style w:type="character" w:customStyle="1" w:styleId="11">
    <w:name w:val="页眉 Char"/>
    <w:basedOn w:val="6"/>
    <w:link w:val="5"/>
    <w:semiHidden/>
    <w:qFormat/>
    <w:uiPriority w:val="99"/>
    <w:rPr>
      <w:rFonts w:asciiTheme="minorHAnsi" w:hAnsiTheme="minorHAnsi" w:eastAsiaTheme="minorEastAsia" w:cstheme="minorBidi"/>
      <w:kern w:val="2"/>
      <w:sz w:val="18"/>
      <w:szCs w:val="18"/>
    </w:rPr>
  </w:style>
  <w:style w:type="character" w:customStyle="1" w:styleId="12">
    <w:name w:val="页脚 Char"/>
    <w:basedOn w:val="6"/>
    <w:link w:val="4"/>
    <w:semiHidden/>
    <w:qFormat/>
    <w:uiPriority w:val="99"/>
    <w:rPr>
      <w:rFonts w:asciiTheme="minorHAnsi" w:hAnsiTheme="minorHAnsi" w:eastAsiaTheme="minorEastAsia" w:cstheme="minorBidi"/>
      <w:kern w:val="2"/>
      <w:sz w:val="18"/>
      <w:szCs w:val="18"/>
    </w:rPr>
  </w:style>
  <w:style w:type="character" w:customStyle="1" w:styleId="13">
    <w:name w:val="font01"/>
    <w:basedOn w:val="6"/>
    <w:uiPriority w:val="0"/>
    <w:rPr>
      <w:rFonts w:hint="eastAsia" w:ascii="宋体" w:hAnsi="宋体" w:eastAsia="宋体" w:cs="宋体"/>
      <w:b/>
      <w:color w:val="000000"/>
      <w:sz w:val="22"/>
      <w:szCs w:val="22"/>
      <w:u w:val="none"/>
    </w:rPr>
  </w:style>
  <w:style w:type="character" w:customStyle="1" w:styleId="14">
    <w:name w:val="font21"/>
    <w:basedOn w:val="6"/>
    <w:qFormat/>
    <w:uiPriority w:val="0"/>
    <w:rPr>
      <w:rFonts w:ascii="font-weight : 400" w:hAnsi="font-weight : 400" w:eastAsia="font-weight : 400" w:cs="font-weight : 400"/>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351</Words>
  <Characters>2003</Characters>
  <Lines>16</Lines>
  <Paragraphs>4</Paragraphs>
  <TotalTime>7</TotalTime>
  <ScaleCrop>false</ScaleCrop>
  <LinksUpToDate>false</LinksUpToDate>
  <CharactersWithSpaces>2350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2017-08-21T07:40:00Z</dcterms:created>
  <dc:creator>张锐</dc:creator>
  <cp:lastModifiedBy>Administrator</cp:lastModifiedBy>
  <dcterms:modified xsi:type="dcterms:W3CDTF">2018-10-18T03:36:11Z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